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78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ХУЛИМСУНТ</w:t>
      </w:r>
    </w:p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780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ХАНТЫ-МАНСИЙСКИЙ АВТОНОМНЫЙ ОКРУГ-ЮГРА </w:t>
      </w:r>
    </w:p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780" w:rsidRPr="005E5780" w:rsidRDefault="005E5780" w:rsidP="005E57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7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5780" w:rsidRPr="005E5780" w:rsidRDefault="005E5780" w:rsidP="005E5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80" w:rsidRPr="005E5780" w:rsidRDefault="005E5780" w:rsidP="005E5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80" w:rsidRPr="0019143B" w:rsidRDefault="0060263F" w:rsidP="005E57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 29.09</w:t>
      </w:r>
      <w:r w:rsidR="005E5780" w:rsidRPr="001914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.2017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№ 77/1</w:t>
      </w:r>
    </w:p>
    <w:p w:rsidR="005E5780" w:rsidRPr="0019143B" w:rsidRDefault="005E5780" w:rsidP="005E57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3B">
        <w:rPr>
          <w:rFonts w:ascii="Times New Roman" w:eastAsia="Times New Roman" w:hAnsi="Times New Roman"/>
          <w:b/>
          <w:sz w:val="26"/>
          <w:szCs w:val="26"/>
          <w:lang w:eastAsia="ru-RU"/>
        </w:rPr>
        <w:t>д. Хулимсунт</w:t>
      </w:r>
    </w:p>
    <w:p w:rsidR="005E5780" w:rsidRPr="0019143B" w:rsidRDefault="005E5780" w:rsidP="005E57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5780" w:rsidRPr="0019143B" w:rsidRDefault="005E5780" w:rsidP="005E57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914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 основных показателях прогноза</w:t>
      </w:r>
    </w:p>
    <w:p w:rsidR="005E5780" w:rsidRPr="0019143B" w:rsidRDefault="005E5780" w:rsidP="005E57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914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социально-экономического развития </w:t>
      </w:r>
    </w:p>
    <w:p w:rsidR="005E5780" w:rsidRPr="0019143B" w:rsidRDefault="005E5780" w:rsidP="005E57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914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сельского поселения Хулимсунт</w:t>
      </w:r>
    </w:p>
    <w:p w:rsidR="005E5780" w:rsidRPr="0019143B" w:rsidRDefault="005E5780" w:rsidP="005E57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914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2018 год и период до 2020 года</w:t>
      </w:r>
    </w:p>
    <w:p w:rsidR="005E5780" w:rsidRPr="005E5780" w:rsidRDefault="005E5780" w:rsidP="005E5780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5780" w:rsidRPr="005E5780" w:rsidRDefault="005E5780" w:rsidP="005E5780">
      <w:pPr>
        <w:tabs>
          <w:tab w:val="left" w:pos="1418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5780" w:rsidRPr="005E5780" w:rsidRDefault="005E5780" w:rsidP="005E578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статьей 3 Закона Ханты-Мансийского автономного округа - </w:t>
      </w:r>
      <w:proofErr w:type="spellStart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Югры</w:t>
      </w:r>
      <w:proofErr w:type="spellEnd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20 июля 2007 года № 99-оз «Об отдельных вопросах организации и осуществления бюджетного процесса в </w:t>
      </w:r>
      <w:proofErr w:type="spellStart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ХМАО-Югре</w:t>
      </w:r>
      <w:proofErr w:type="spellEnd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», постановления главы сельского поселения Хулимсунт от 17.11.2008 г. № 6 «О порядке </w:t>
      </w:r>
      <w:proofErr w:type="gramStart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разработки прогноза социально-экономического развития муниципального образования сельского поселения</w:t>
      </w:r>
      <w:proofErr w:type="gramEnd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Хулимсунт»: </w:t>
      </w:r>
    </w:p>
    <w:p w:rsidR="005E5780" w:rsidRPr="005E5780" w:rsidRDefault="005E5780" w:rsidP="005E57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780" w:rsidRPr="005E5780" w:rsidRDefault="005E5780" w:rsidP="005E578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1. Одобрить прогноз социально-экономического развития сельского поселения Хулимсунт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и плановый период 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 и 2020</w:t>
      </w: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согласно приложению к настоящему постановлению.</w:t>
      </w:r>
    </w:p>
    <w:p w:rsidR="005E5780" w:rsidRPr="005E5780" w:rsidRDefault="005E5780" w:rsidP="005E578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2. Обнародовать настоящее постановление путем размещения в общедоступных местах и на </w:t>
      </w:r>
      <w:proofErr w:type="gramStart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официальном</w:t>
      </w:r>
      <w:proofErr w:type="gramEnd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веб-сайте</w:t>
      </w:r>
      <w:proofErr w:type="spellEnd"/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Хулимсунт.</w:t>
      </w:r>
    </w:p>
    <w:p w:rsidR="005E5780" w:rsidRPr="005E5780" w:rsidRDefault="005E5780" w:rsidP="005E578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>3.  Настоящее постановление вступает в силу после его официального опубликования.</w:t>
      </w:r>
    </w:p>
    <w:p w:rsidR="005E5780" w:rsidRPr="005E5780" w:rsidRDefault="005E5780" w:rsidP="005E578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над</w:t>
      </w: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</w:t>
      </w:r>
      <w:r w:rsidR="0019143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5E5780" w:rsidRPr="005E5780" w:rsidRDefault="005E5780" w:rsidP="005E5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780" w:rsidRPr="005E5780" w:rsidRDefault="005E5780" w:rsidP="005E5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780" w:rsidRPr="005E5780" w:rsidRDefault="005E5780" w:rsidP="005E5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780" w:rsidRPr="005E5780" w:rsidRDefault="005E5780" w:rsidP="005E5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О.В.Баранова </w:t>
      </w:r>
    </w:p>
    <w:p w:rsidR="005E5780" w:rsidRPr="005E5780" w:rsidRDefault="005E5780" w:rsidP="005E5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E57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780" w:rsidRDefault="005E5780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39B" w:rsidRDefault="00F8739B" w:rsidP="005E578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5780" w:rsidRPr="00340907" w:rsidRDefault="005E5780" w:rsidP="005E578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09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E5780" w:rsidRPr="00340907" w:rsidRDefault="005E5780" w:rsidP="005E578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0907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5E5780" w:rsidRPr="00340907" w:rsidRDefault="005E5780" w:rsidP="005E578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090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Хулимсунт  </w:t>
      </w:r>
    </w:p>
    <w:p w:rsidR="005E5780" w:rsidRPr="00340907" w:rsidRDefault="005E5780" w:rsidP="005E578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0907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0263F">
        <w:rPr>
          <w:rFonts w:ascii="Times New Roman" w:hAnsi="Times New Roman" w:cs="Times New Roman"/>
          <w:bCs/>
          <w:sz w:val="24"/>
          <w:szCs w:val="24"/>
        </w:rPr>
        <w:t>29.09</w:t>
      </w:r>
      <w:r w:rsidRPr="00340907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40907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0263F">
        <w:rPr>
          <w:rFonts w:ascii="Times New Roman" w:hAnsi="Times New Roman" w:cs="Times New Roman"/>
          <w:bCs/>
          <w:sz w:val="24"/>
          <w:szCs w:val="24"/>
        </w:rPr>
        <w:t>77/1</w:t>
      </w:r>
    </w:p>
    <w:p w:rsidR="005E5780" w:rsidRDefault="005E5780" w:rsidP="005E57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03C8" w:rsidRPr="002E03C8" w:rsidRDefault="002E03C8" w:rsidP="002E03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</w:t>
      </w:r>
    </w:p>
    <w:p w:rsidR="002E03C8" w:rsidRPr="002E03C8" w:rsidRDefault="002E03C8" w:rsidP="002E03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социально-экономического развития  сельского поселения Хулимсунт </w:t>
      </w:r>
    </w:p>
    <w:p w:rsidR="002E03C8" w:rsidRPr="002E03C8" w:rsidRDefault="002E03C8" w:rsidP="002E03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год и период до 2020</w:t>
      </w:r>
      <w:r w:rsidRPr="002E0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074E5" w:rsidRPr="00A07DED" w:rsidRDefault="00F074E5" w:rsidP="00F07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C8" w:rsidRPr="002E03C8" w:rsidRDefault="00F074E5" w:rsidP="002E03C8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E03C8" w:rsidRPr="002E03C8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сельского поселения Хулимсунт на 201</w:t>
      </w:r>
      <w:r w:rsidR="002E03C8">
        <w:rPr>
          <w:rFonts w:ascii="Times New Roman" w:eastAsia="Times New Roman" w:hAnsi="Times New Roman"/>
          <w:sz w:val="28"/>
          <w:szCs w:val="28"/>
          <w:lang w:eastAsia="ru-RU"/>
        </w:rPr>
        <w:t>8 год и на период до 2020</w:t>
      </w:r>
      <w:r w:rsidR="002E03C8" w:rsidRPr="002E03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разработан в соответствии со сценарными условиями социально-экономического развития Ханты-Мансийского автономного округа, Березовского района, сельского поселения Хулимсунт с учетом итогов социально-экономического развития сельского поселения Хулимсунт.</w:t>
      </w:r>
    </w:p>
    <w:p w:rsidR="002E03C8" w:rsidRPr="002E03C8" w:rsidRDefault="002E03C8" w:rsidP="002E03C8">
      <w:pPr>
        <w:spacing w:before="240" w:after="0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>Показатели прогноза разработаны на базе статистических данных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а также с учетом тенденций, складывающихся в экономике и социальной сфере </w:t>
      </w:r>
      <w:r w:rsidRPr="002E0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Хулимсунт в </w:t>
      </w: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2E03C8" w:rsidRPr="002E03C8" w:rsidRDefault="002E03C8" w:rsidP="002E03C8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>Прогноз разработан в двух вариантах. Варианты прогноза базируются на относительно благоприятных оценках внешних и внутренних условий.</w:t>
      </w:r>
    </w:p>
    <w:p w:rsidR="00274666" w:rsidRDefault="002E03C8" w:rsidP="002E03C8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Первый вариант предполагает ограниченную возможность для развития инфраструктуры. Второй вариант предполагает более высокие темпы социально-экономического развития, основанной на улучшении инвестиционного климата.</w:t>
      </w:r>
    </w:p>
    <w:p w:rsidR="00274666" w:rsidRPr="00274666" w:rsidRDefault="002E03C8" w:rsidP="002746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4666" w:rsidRPr="00274666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приоритетами  экономической и социальной политики в прогнозный период являются:</w:t>
      </w:r>
    </w:p>
    <w:p w:rsidR="00274666" w:rsidRDefault="00274666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повышение роли среднего и малого бизнеса;</w:t>
      </w:r>
    </w:p>
    <w:p w:rsidR="000B2B6D" w:rsidRPr="000B2B6D" w:rsidRDefault="000B2B6D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C86">
        <w:rPr>
          <w:rFonts w:ascii="Times New Roman" w:hAnsi="Times New Roman"/>
          <w:sz w:val="28"/>
          <w:szCs w:val="28"/>
        </w:rPr>
        <w:t xml:space="preserve">развитие и поддержка малого предпринимательства </w:t>
      </w:r>
      <w:r>
        <w:rPr>
          <w:rFonts w:ascii="Times New Roman" w:hAnsi="Times New Roman"/>
          <w:sz w:val="28"/>
          <w:szCs w:val="28"/>
        </w:rPr>
        <w:t>(сдача в аренду муниципального имущества для субъектов малого предпринимательства)</w:t>
      </w:r>
      <w:r w:rsidRPr="000B3420">
        <w:rPr>
          <w:sz w:val="28"/>
          <w:szCs w:val="28"/>
        </w:rPr>
        <w:t>;</w:t>
      </w:r>
    </w:p>
    <w:p w:rsidR="000B2B6D" w:rsidRPr="000B2B6D" w:rsidRDefault="000B2B6D" w:rsidP="000B2B6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D62F6">
        <w:rPr>
          <w:rFonts w:ascii="Times New Roman" w:hAnsi="Times New Roman"/>
          <w:sz w:val="28"/>
          <w:szCs w:val="28"/>
        </w:rPr>
        <w:t>стимулирование, привлечение новых налогоплательщиков на территорию поселения</w:t>
      </w:r>
      <w:r>
        <w:rPr>
          <w:sz w:val="28"/>
          <w:szCs w:val="28"/>
        </w:rPr>
        <w:t>;</w:t>
      </w:r>
    </w:p>
    <w:p w:rsidR="00274666" w:rsidRPr="00274666" w:rsidRDefault="00274666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жизни граждан путем гарантирования высоких стандартов жизнеобеспечения;</w:t>
      </w:r>
    </w:p>
    <w:p w:rsidR="00274666" w:rsidRPr="00274666" w:rsidRDefault="00274666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жилищно-коммунальных услуг, проведение экономически-обоснованной политики; </w:t>
      </w:r>
    </w:p>
    <w:p w:rsidR="00274666" w:rsidRPr="00274666" w:rsidRDefault="00274666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социальное развитие и инвестиции в человеческий капитал;</w:t>
      </w:r>
    </w:p>
    <w:p w:rsidR="00274666" w:rsidRPr="00274666" w:rsidRDefault="00274666" w:rsidP="002746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в отраслях социальной сферы. </w:t>
      </w:r>
    </w:p>
    <w:p w:rsidR="00274666" w:rsidRPr="00274666" w:rsidRDefault="00274666" w:rsidP="00274666">
      <w:pPr>
        <w:spacing w:after="0"/>
        <w:ind w:left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666" w:rsidRDefault="00274666" w:rsidP="00274666">
      <w:pPr>
        <w:spacing w:after="0"/>
        <w:ind w:right="3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Достойное качество жизни населения это важнейшая стратегическая цель развития поселения.</w:t>
      </w:r>
    </w:p>
    <w:p w:rsidR="00274666" w:rsidRDefault="00274666" w:rsidP="00274666">
      <w:pPr>
        <w:spacing w:after="0"/>
        <w:ind w:right="3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666" w:rsidRPr="00274666" w:rsidRDefault="00274666" w:rsidP="00274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b/>
          <w:sz w:val="28"/>
          <w:szCs w:val="28"/>
          <w:lang w:eastAsia="ru-RU"/>
        </w:rPr>
        <w:t>1. Демографическая ситуация.</w:t>
      </w:r>
    </w:p>
    <w:p w:rsidR="00274666" w:rsidRPr="00274666" w:rsidRDefault="00274666" w:rsidP="0027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666" w:rsidRPr="00274666" w:rsidRDefault="00274666" w:rsidP="0027466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4666">
        <w:rPr>
          <w:rFonts w:ascii="Times New Roman" w:hAnsi="Times New Roman"/>
          <w:sz w:val="28"/>
          <w:szCs w:val="28"/>
        </w:rPr>
        <w:t>На первое января 201</w:t>
      </w:r>
      <w:r w:rsidR="00855503">
        <w:rPr>
          <w:rFonts w:ascii="Times New Roman" w:hAnsi="Times New Roman"/>
          <w:sz w:val="28"/>
          <w:szCs w:val="28"/>
        </w:rPr>
        <w:t>7</w:t>
      </w:r>
      <w:r w:rsidRPr="00274666">
        <w:rPr>
          <w:rFonts w:ascii="Times New Roman" w:hAnsi="Times New Roman"/>
          <w:sz w:val="28"/>
          <w:szCs w:val="28"/>
        </w:rPr>
        <w:t xml:space="preserve">  года в поселении численность   постоянно проживающих составляет  </w:t>
      </w:r>
      <w:r w:rsidR="00855503">
        <w:rPr>
          <w:rFonts w:ascii="Times New Roman" w:hAnsi="Times New Roman"/>
          <w:sz w:val="28"/>
          <w:szCs w:val="28"/>
        </w:rPr>
        <w:t>2,173</w:t>
      </w:r>
      <w:r w:rsidRPr="00274666">
        <w:rPr>
          <w:rFonts w:ascii="Times New Roman" w:hAnsi="Times New Roman"/>
          <w:sz w:val="28"/>
          <w:szCs w:val="28"/>
        </w:rPr>
        <w:t xml:space="preserve"> тыс. человека,</w:t>
      </w:r>
      <w:r w:rsidR="00EF58E0">
        <w:rPr>
          <w:rFonts w:ascii="Times New Roman" w:hAnsi="Times New Roman"/>
          <w:sz w:val="28"/>
          <w:szCs w:val="28"/>
        </w:rPr>
        <w:t xml:space="preserve"> из них 22,3% это жители коренных малочисленных народов севера. П</w:t>
      </w:r>
      <w:r w:rsidRPr="00274666">
        <w:rPr>
          <w:rFonts w:ascii="Times New Roman" w:hAnsi="Times New Roman"/>
          <w:sz w:val="28"/>
          <w:szCs w:val="28"/>
        </w:rPr>
        <w:t>о сравнению с 201</w:t>
      </w:r>
      <w:r w:rsidR="00855503">
        <w:rPr>
          <w:rFonts w:ascii="Times New Roman" w:hAnsi="Times New Roman"/>
          <w:sz w:val="28"/>
          <w:szCs w:val="28"/>
        </w:rPr>
        <w:t>6</w:t>
      </w:r>
      <w:r w:rsidRPr="00274666">
        <w:rPr>
          <w:rFonts w:ascii="Times New Roman" w:hAnsi="Times New Roman"/>
          <w:sz w:val="28"/>
          <w:szCs w:val="28"/>
        </w:rPr>
        <w:t xml:space="preserve"> годом </w:t>
      </w:r>
      <w:r w:rsidR="00EF066E">
        <w:rPr>
          <w:rFonts w:ascii="Times New Roman" w:hAnsi="Times New Roman"/>
          <w:sz w:val="28"/>
          <w:szCs w:val="28"/>
        </w:rPr>
        <w:t>меньше</w:t>
      </w:r>
      <w:r w:rsidR="00855503">
        <w:rPr>
          <w:rFonts w:ascii="Times New Roman" w:hAnsi="Times New Roman"/>
          <w:sz w:val="28"/>
          <w:szCs w:val="28"/>
        </w:rPr>
        <w:t xml:space="preserve"> на </w:t>
      </w:r>
      <w:r w:rsidR="00EF066E">
        <w:rPr>
          <w:rFonts w:ascii="Times New Roman" w:hAnsi="Times New Roman"/>
          <w:sz w:val="28"/>
          <w:szCs w:val="28"/>
        </w:rPr>
        <w:t>18</w:t>
      </w:r>
      <w:r w:rsidRPr="00274666">
        <w:rPr>
          <w:rFonts w:ascii="Times New Roman" w:hAnsi="Times New Roman"/>
          <w:sz w:val="28"/>
          <w:szCs w:val="28"/>
        </w:rPr>
        <w:t xml:space="preserve"> человек, данное явление наблюдается из-за увеличения  </w:t>
      </w:r>
      <w:r w:rsidR="00EF066E">
        <w:rPr>
          <w:rFonts w:ascii="Times New Roman" w:hAnsi="Times New Roman"/>
          <w:sz w:val="28"/>
          <w:szCs w:val="28"/>
        </w:rPr>
        <w:t>выбывших</w:t>
      </w:r>
      <w:r w:rsidRPr="00274666">
        <w:rPr>
          <w:rFonts w:ascii="Times New Roman" w:hAnsi="Times New Roman"/>
          <w:sz w:val="28"/>
          <w:szCs w:val="28"/>
        </w:rPr>
        <w:t>, в связи с выездом из районов крайнего севера жителей, которые закончили свою трудовую деятельность в градообразующем предприятии на территории поселения.</w:t>
      </w:r>
      <w:r w:rsidRPr="00274666">
        <w:rPr>
          <w:rFonts w:ascii="Times New Roman" w:hAnsi="Times New Roman"/>
          <w:bCs/>
          <w:sz w:val="28"/>
          <w:szCs w:val="28"/>
        </w:rPr>
        <w:t xml:space="preserve"> </w:t>
      </w:r>
      <w:r w:rsidRPr="00274666">
        <w:rPr>
          <w:rFonts w:ascii="Times New Roman" w:hAnsi="Times New Roman"/>
          <w:bCs/>
          <w:sz w:val="28"/>
          <w:szCs w:val="28"/>
        </w:rPr>
        <w:tab/>
      </w:r>
    </w:p>
    <w:p w:rsidR="00274666" w:rsidRPr="00274666" w:rsidRDefault="00274666" w:rsidP="0027466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4666">
        <w:rPr>
          <w:rFonts w:ascii="Times New Roman" w:hAnsi="Times New Roman"/>
          <w:bCs/>
          <w:sz w:val="28"/>
          <w:szCs w:val="28"/>
        </w:rPr>
        <w:t>К концу 201</w:t>
      </w:r>
      <w:r w:rsidR="00EF066E">
        <w:rPr>
          <w:rFonts w:ascii="Times New Roman" w:hAnsi="Times New Roman"/>
          <w:bCs/>
          <w:sz w:val="28"/>
          <w:szCs w:val="28"/>
        </w:rPr>
        <w:t>7</w:t>
      </w:r>
      <w:r w:rsidRPr="00274666">
        <w:rPr>
          <w:rFonts w:ascii="Times New Roman" w:hAnsi="Times New Roman"/>
          <w:bCs/>
          <w:sz w:val="28"/>
          <w:szCs w:val="28"/>
        </w:rPr>
        <w:t xml:space="preserve"> года ожидает</w:t>
      </w:r>
      <w:r w:rsidR="00EF066E">
        <w:rPr>
          <w:rFonts w:ascii="Times New Roman" w:hAnsi="Times New Roman"/>
          <w:bCs/>
          <w:sz w:val="28"/>
          <w:szCs w:val="28"/>
        </w:rPr>
        <w:t>ся увеличение населения до 2,194</w:t>
      </w:r>
      <w:r w:rsidRPr="00274666">
        <w:rPr>
          <w:rFonts w:ascii="Times New Roman" w:hAnsi="Times New Roman"/>
          <w:bCs/>
          <w:sz w:val="28"/>
          <w:szCs w:val="28"/>
        </w:rPr>
        <w:t xml:space="preserve"> тыс. человек </w:t>
      </w:r>
      <w:r w:rsidRPr="00274666">
        <w:rPr>
          <w:rFonts w:ascii="Times New Roman" w:hAnsi="Times New Roman"/>
          <w:sz w:val="28"/>
          <w:szCs w:val="28"/>
        </w:rPr>
        <w:t>в связи с приездом молодых специалистов на работу  в градообразующее предприятие, а также</w:t>
      </w:r>
      <w:r w:rsidRPr="00274666">
        <w:rPr>
          <w:rFonts w:ascii="Times New Roman" w:hAnsi="Times New Roman"/>
          <w:bCs/>
          <w:sz w:val="28"/>
          <w:szCs w:val="28"/>
        </w:rPr>
        <w:t xml:space="preserve"> за счет </w:t>
      </w:r>
      <w:r w:rsidRPr="00274666">
        <w:rPr>
          <w:rFonts w:ascii="Times New Roman" w:hAnsi="Times New Roman"/>
          <w:sz w:val="28"/>
          <w:szCs w:val="28"/>
        </w:rPr>
        <w:t>рождаемости.</w:t>
      </w:r>
    </w:p>
    <w:p w:rsidR="00274666" w:rsidRPr="00274666" w:rsidRDefault="00274666" w:rsidP="002746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666" w:rsidRDefault="00274666" w:rsidP="0027466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666">
        <w:rPr>
          <w:rFonts w:ascii="Times New Roman" w:hAnsi="Times New Roman"/>
          <w:b/>
          <w:sz w:val="28"/>
          <w:szCs w:val="28"/>
        </w:rPr>
        <w:t>Численность населения сельского поселения Хулимсунт</w:t>
      </w:r>
    </w:p>
    <w:p w:rsidR="00F1082A" w:rsidRDefault="00F1082A" w:rsidP="0027466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666" w:rsidRPr="00274666" w:rsidRDefault="00274666" w:rsidP="0027466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666" w:rsidRPr="00274666" w:rsidRDefault="00274666" w:rsidP="0027466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666" w:rsidRDefault="00274666" w:rsidP="00274666">
      <w:pPr>
        <w:tabs>
          <w:tab w:val="left" w:pos="567"/>
          <w:tab w:val="left" w:pos="709"/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F0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поселении коэффициент рождаемости составил </w:t>
      </w:r>
      <w:r w:rsidR="00EF066E">
        <w:rPr>
          <w:rFonts w:ascii="Times New Roman" w:eastAsia="Times New Roman" w:hAnsi="Times New Roman"/>
          <w:sz w:val="28"/>
          <w:szCs w:val="28"/>
          <w:lang w:eastAsia="ru-RU"/>
        </w:rPr>
        <w:t>4,47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F066E">
        <w:rPr>
          <w:rFonts w:ascii="Times New Roman" w:eastAsia="Times New Roman" w:hAnsi="Times New Roman"/>
          <w:sz w:val="28"/>
          <w:szCs w:val="28"/>
          <w:lang w:eastAsia="ru-RU"/>
        </w:rPr>
        <w:t>9 младенцев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, по предварительной оценке 201</w:t>
      </w:r>
      <w:r w:rsidR="00EF0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коэффициент рождаемости составит </w:t>
      </w:r>
      <w:r w:rsidR="00D02A35">
        <w:rPr>
          <w:rFonts w:ascii="Times New Roman" w:eastAsia="Times New Roman" w:hAnsi="Times New Roman"/>
          <w:sz w:val="28"/>
          <w:szCs w:val="28"/>
          <w:lang w:eastAsia="ru-RU"/>
        </w:rPr>
        <w:t>4,60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02A3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младенцев). Этому способствуют материнский капитал и денежные выплаты на основании Закона Ханты-Мансийского автономного округа – </w:t>
      </w:r>
      <w:proofErr w:type="spellStart"/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2011 года № 100-оз «О дополнительных мерах поддержки семей, имеющих детей в Ханты - Мансийском автономном округе </w:t>
      </w:r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Югре</w:t>
      </w:r>
      <w:proofErr w:type="spellEnd"/>
      <w:r w:rsidRPr="00274666">
        <w:rPr>
          <w:rFonts w:ascii="Times New Roman" w:eastAsia="Times New Roman" w:hAnsi="Times New Roman"/>
          <w:sz w:val="28"/>
          <w:szCs w:val="28"/>
          <w:lang w:eastAsia="ru-RU"/>
        </w:rPr>
        <w:t>» (при рождении (усыновления) третьего ребенка или последующих детей).</w:t>
      </w:r>
    </w:p>
    <w:p w:rsidR="00D02A35" w:rsidRDefault="00D02A35" w:rsidP="00274666">
      <w:pPr>
        <w:tabs>
          <w:tab w:val="left" w:pos="567"/>
          <w:tab w:val="left" w:pos="709"/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A35" w:rsidRDefault="00D02A35" w:rsidP="00D02A35">
      <w:pPr>
        <w:pStyle w:val="a5"/>
        <w:tabs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D02A35" w:rsidRDefault="00D02A35" w:rsidP="00D02A35">
      <w:pPr>
        <w:pStyle w:val="a5"/>
        <w:tabs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D02A35" w:rsidRPr="006E40C8" w:rsidRDefault="00D02A35" w:rsidP="00D02A35">
      <w:pPr>
        <w:pStyle w:val="a5"/>
        <w:tabs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6E40C8">
        <w:rPr>
          <w:b/>
          <w:sz w:val="28"/>
          <w:szCs w:val="28"/>
        </w:rPr>
        <w:t xml:space="preserve">Общий коэффициент рождаемости на территории сельского поселения </w:t>
      </w:r>
    </w:p>
    <w:p w:rsidR="00D02A35" w:rsidRDefault="00D02A35" w:rsidP="00D02A35">
      <w:pPr>
        <w:pStyle w:val="a5"/>
        <w:tabs>
          <w:tab w:val="left" w:pos="567"/>
          <w:tab w:val="left" w:pos="709"/>
          <w:tab w:val="left" w:pos="850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2147777"/>
            <wp:effectExtent l="19050" t="0" r="19050" b="4873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2A35" w:rsidRPr="00943C88" w:rsidRDefault="00D02A35" w:rsidP="00D02A3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943C88">
        <w:rPr>
          <w:rFonts w:ascii="Times New Roman" w:hAnsi="Times New Roman"/>
          <w:sz w:val="28"/>
          <w:szCs w:val="28"/>
        </w:rPr>
        <w:t>Коэффициент смертности в 2016 году составил 4,47 (</w:t>
      </w:r>
      <w:r w:rsidRPr="00943C88">
        <w:rPr>
          <w:rFonts w:ascii="Times New Roman" w:hAnsi="Times New Roman"/>
          <w:color w:val="000000"/>
          <w:sz w:val="28"/>
          <w:szCs w:val="28"/>
        </w:rPr>
        <w:t>9</w:t>
      </w:r>
      <w:r w:rsidRPr="00943C88">
        <w:rPr>
          <w:rFonts w:ascii="Times New Roman" w:hAnsi="Times New Roman"/>
          <w:sz w:val="28"/>
          <w:szCs w:val="28"/>
        </w:rPr>
        <w:t xml:space="preserve"> человек), естественный прирост населения 0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C88">
        <w:rPr>
          <w:rFonts w:ascii="Times New Roman" w:hAnsi="Times New Roman"/>
          <w:sz w:val="28"/>
          <w:szCs w:val="28"/>
        </w:rPr>
        <w:t>человек, в 2017 году ожидается естественный прирост 2 человека,</w:t>
      </w:r>
      <w:r w:rsidRPr="00943C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3C88">
        <w:rPr>
          <w:rFonts w:ascii="Times New Roman" w:hAnsi="Times New Roman"/>
          <w:sz w:val="28"/>
          <w:szCs w:val="28"/>
        </w:rPr>
        <w:t>коэффициент смертности 3,48 (7 человек).</w:t>
      </w:r>
    </w:p>
    <w:p w:rsidR="00D02A35" w:rsidRPr="00943C88" w:rsidRDefault="00D02A35" w:rsidP="00D02A3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02A35" w:rsidRPr="00943C88" w:rsidRDefault="00D02A35" w:rsidP="00D02A35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943C88">
        <w:rPr>
          <w:rFonts w:ascii="Times New Roman" w:hAnsi="Times New Roman"/>
          <w:b/>
          <w:sz w:val="28"/>
          <w:szCs w:val="28"/>
        </w:rPr>
        <w:t>Общий коэффициент смертности</w:t>
      </w:r>
      <w:r w:rsidRPr="00943C88">
        <w:rPr>
          <w:rFonts w:ascii="Times New Roman" w:hAnsi="Times New Roman"/>
          <w:sz w:val="28"/>
          <w:szCs w:val="28"/>
        </w:rPr>
        <w:t xml:space="preserve"> </w:t>
      </w:r>
      <w:r w:rsidRPr="00943C88">
        <w:rPr>
          <w:rFonts w:ascii="Times New Roman" w:hAnsi="Times New Roman"/>
          <w:b/>
          <w:sz w:val="28"/>
          <w:szCs w:val="28"/>
        </w:rPr>
        <w:t>на территории сельского поселения</w:t>
      </w:r>
    </w:p>
    <w:p w:rsidR="00D02A35" w:rsidRPr="00943C88" w:rsidRDefault="00D02A35" w:rsidP="00D02A35">
      <w:pPr>
        <w:tabs>
          <w:tab w:val="left" w:pos="567"/>
          <w:tab w:val="left" w:pos="85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43C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0950" cy="2126615"/>
            <wp:effectExtent l="19050" t="0" r="25400" b="6985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2A35" w:rsidRPr="00943C88" w:rsidRDefault="00D02A35" w:rsidP="00D02A35">
      <w:pPr>
        <w:pStyle w:val="a9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43C88">
        <w:rPr>
          <w:sz w:val="28"/>
          <w:szCs w:val="28"/>
        </w:rPr>
        <w:t>Значительное влияние на развитие демографической ситуации продолжают оказывать миграционные процессы. Главным фактором, влияющим на миграционный отток, является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 в связи с трудоустройством.</w:t>
      </w:r>
    </w:p>
    <w:p w:rsidR="00D02A35" w:rsidRPr="00943C88" w:rsidRDefault="00D02A35" w:rsidP="00D02A35">
      <w:pPr>
        <w:tabs>
          <w:tab w:val="left" w:pos="567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3C88">
        <w:rPr>
          <w:rFonts w:ascii="Times New Roman" w:hAnsi="Times New Roman"/>
          <w:color w:val="000000"/>
          <w:sz w:val="28"/>
          <w:szCs w:val="28"/>
        </w:rPr>
        <w:lastRenderedPageBreak/>
        <w:t>Большая часть населения – это молодые люди от 16 до 40 лет.</w:t>
      </w:r>
      <w:r w:rsidRPr="00943C88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943C88">
        <w:rPr>
          <w:rFonts w:ascii="Times New Roman" w:hAnsi="Times New Roman"/>
          <w:color w:val="000000"/>
          <w:sz w:val="28"/>
          <w:szCs w:val="28"/>
        </w:rPr>
        <w:t>Численность детей на терри</w:t>
      </w:r>
      <w:r w:rsidR="00943C88">
        <w:rPr>
          <w:rFonts w:ascii="Times New Roman" w:hAnsi="Times New Roman"/>
          <w:color w:val="000000"/>
          <w:sz w:val="28"/>
          <w:szCs w:val="28"/>
        </w:rPr>
        <w:t>тории сельского поселения в 201</w:t>
      </w:r>
      <w:r w:rsidR="00EF58E0">
        <w:rPr>
          <w:rFonts w:ascii="Times New Roman" w:hAnsi="Times New Roman"/>
          <w:color w:val="000000"/>
          <w:sz w:val="28"/>
          <w:szCs w:val="28"/>
        </w:rPr>
        <w:t>7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году составила </w:t>
      </w:r>
      <w:r w:rsidR="00EF58E0">
        <w:rPr>
          <w:rFonts w:ascii="Times New Roman" w:hAnsi="Times New Roman"/>
          <w:color w:val="000000"/>
          <w:sz w:val="28"/>
          <w:szCs w:val="28"/>
        </w:rPr>
        <w:t>465 человек</w:t>
      </w:r>
      <w:r w:rsidR="00943C88">
        <w:rPr>
          <w:rFonts w:ascii="Times New Roman" w:hAnsi="Times New Roman"/>
          <w:color w:val="000000"/>
          <w:sz w:val="28"/>
          <w:szCs w:val="28"/>
        </w:rPr>
        <w:t>, в 201</w:t>
      </w:r>
      <w:r w:rsidR="00EF58E0">
        <w:rPr>
          <w:rFonts w:ascii="Times New Roman" w:hAnsi="Times New Roman"/>
          <w:color w:val="000000"/>
          <w:sz w:val="28"/>
          <w:szCs w:val="28"/>
        </w:rPr>
        <w:t>8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году ожидается </w:t>
      </w:r>
      <w:r w:rsidR="00EF58E0">
        <w:rPr>
          <w:rFonts w:ascii="Times New Roman" w:hAnsi="Times New Roman"/>
          <w:color w:val="000000"/>
          <w:sz w:val="28"/>
          <w:szCs w:val="28"/>
        </w:rPr>
        <w:t xml:space="preserve">488 </w:t>
      </w:r>
      <w:r w:rsidRPr="00943C88">
        <w:rPr>
          <w:rFonts w:ascii="Times New Roman" w:hAnsi="Times New Roman"/>
          <w:color w:val="000000"/>
          <w:sz w:val="28"/>
          <w:szCs w:val="28"/>
        </w:rPr>
        <w:t>человек. Численность т</w:t>
      </w:r>
      <w:r w:rsidR="00943C88">
        <w:rPr>
          <w:rFonts w:ascii="Times New Roman" w:hAnsi="Times New Roman"/>
          <w:color w:val="000000"/>
          <w:sz w:val="28"/>
          <w:szCs w:val="28"/>
        </w:rPr>
        <w:t>рудоспособного населения на 2016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год составила 11</w:t>
      </w:r>
      <w:r w:rsidR="00943C88">
        <w:rPr>
          <w:rFonts w:ascii="Times New Roman" w:hAnsi="Times New Roman"/>
          <w:color w:val="000000"/>
          <w:sz w:val="28"/>
          <w:szCs w:val="28"/>
        </w:rPr>
        <w:t>20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="00943C88">
        <w:rPr>
          <w:rFonts w:ascii="Times New Roman" w:hAnsi="Times New Roman"/>
          <w:color w:val="000000"/>
          <w:sz w:val="28"/>
          <w:szCs w:val="28"/>
        </w:rPr>
        <w:t>овек, в 2017 году 1125</w:t>
      </w:r>
      <w:r w:rsidRPr="00943C88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D02A35" w:rsidRPr="00943C88" w:rsidRDefault="00D02A35" w:rsidP="00D02A3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43C88">
        <w:rPr>
          <w:rFonts w:ascii="Times New Roman" w:hAnsi="Times New Roman"/>
          <w:sz w:val="28"/>
          <w:szCs w:val="28"/>
        </w:rPr>
        <w:tab/>
      </w:r>
      <w:r w:rsidRPr="00943C88">
        <w:rPr>
          <w:rFonts w:ascii="Times New Roman" w:hAnsi="Times New Roman"/>
          <w:sz w:val="28"/>
          <w:szCs w:val="28"/>
        </w:rPr>
        <w:tab/>
        <w:t>Кол</w:t>
      </w:r>
      <w:r w:rsidR="005C19BB">
        <w:rPr>
          <w:rFonts w:ascii="Times New Roman" w:hAnsi="Times New Roman"/>
          <w:sz w:val="28"/>
          <w:szCs w:val="28"/>
        </w:rPr>
        <w:t>ичество многодетных семей в 2016</w:t>
      </w:r>
      <w:r w:rsidRPr="00943C88">
        <w:rPr>
          <w:rFonts w:ascii="Times New Roman" w:hAnsi="Times New Roman"/>
          <w:sz w:val="28"/>
          <w:szCs w:val="28"/>
        </w:rPr>
        <w:t xml:space="preserve"> году с</w:t>
      </w:r>
      <w:r w:rsidR="005C19BB">
        <w:rPr>
          <w:rFonts w:ascii="Times New Roman" w:hAnsi="Times New Roman"/>
          <w:sz w:val="28"/>
          <w:szCs w:val="28"/>
        </w:rPr>
        <w:t>оставило 49</w:t>
      </w:r>
      <w:r w:rsidRPr="00943C88">
        <w:rPr>
          <w:rFonts w:ascii="Times New Roman" w:hAnsi="Times New Roman"/>
          <w:sz w:val="28"/>
          <w:szCs w:val="28"/>
        </w:rPr>
        <w:t xml:space="preserve"> семьи, в 201</w:t>
      </w:r>
      <w:r w:rsidR="005C19BB">
        <w:rPr>
          <w:rFonts w:ascii="Times New Roman" w:hAnsi="Times New Roman"/>
          <w:sz w:val="28"/>
          <w:szCs w:val="28"/>
        </w:rPr>
        <w:t>7</w:t>
      </w:r>
      <w:r w:rsidRPr="00943C88">
        <w:rPr>
          <w:rFonts w:ascii="Times New Roman" w:hAnsi="Times New Roman"/>
          <w:sz w:val="28"/>
          <w:szCs w:val="28"/>
        </w:rPr>
        <w:t xml:space="preserve"> году ожид</w:t>
      </w:r>
      <w:r w:rsidR="005C19BB">
        <w:rPr>
          <w:rFonts w:ascii="Times New Roman" w:hAnsi="Times New Roman"/>
          <w:sz w:val="28"/>
          <w:szCs w:val="28"/>
        </w:rPr>
        <w:t>ается небольшое увеличение до 52</w:t>
      </w:r>
      <w:r w:rsidRPr="00943C88">
        <w:rPr>
          <w:rFonts w:ascii="Times New Roman" w:hAnsi="Times New Roman"/>
          <w:sz w:val="28"/>
          <w:szCs w:val="28"/>
        </w:rPr>
        <w:t xml:space="preserve"> семей.</w:t>
      </w:r>
    </w:p>
    <w:p w:rsidR="005C19BB" w:rsidRPr="005C19BB" w:rsidRDefault="004C60DB" w:rsidP="005C19B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5C19BB" w:rsidRPr="005C19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5A1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19BB" w:rsidRPr="005C19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Трудовые ресурсы и занятость.</w:t>
      </w:r>
    </w:p>
    <w:p w:rsidR="005C19BB" w:rsidRPr="005C19BB" w:rsidRDefault="005C19BB" w:rsidP="005C1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C19BB" w:rsidRPr="005C19BB" w:rsidRDefault="005C19BB" w:rsidP="005C19BB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Трудовые ресурсы, и их качество, создание условий для сохранения и повышения уровня занятости н</w:t>
      </w:r>
      <w:r w:rsidR="005A15A4">
        <w:rPr>
          <w:rFonts w:ascii="Times New Roman" w:eastAsia="Times New Roman" w:hAnsi="Times New Roman"/>
          <w:sz w:val="28"/>
          <w:szCs w:val="28"/>
          <w:lang w:eastAsia="ru-RU"/>
        </w:rPr>
        <w:t>аселения во многом предопределяе</w:t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т социально-экономическое развитие поселения.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году численность </w:t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 активного населения 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1,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120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человек, по предварительной оценке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2020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будет</w:t>
      </w:r>
      <w:r w:rsidRPr="005C19B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небольшое</w:t>
      </w:r>
      <w:r w:rsidRPr="005C19B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увеличение, в связи с приездом молодых специалистов, для трудоустройства в градообразующее предприятие на территории д. Хулимсунт.</w:t>
      </w:r>
      <w:r w:rsidRPr="005C1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19BB" w:rsidRPr="005C19BB" w:rsidRDefault="005C19BB" w:rsidP="005C19B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C19BB" w:rsidRPr="005C19BB" w:rsidRDefault="005C19BB" w:rsidP="005C19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9B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занятости населения сельского поселения по основным видам экономической деятельности в 2015 году</w:t>
      </w:r>
    </w:p>
    <w:p w:rsidR="005C19BB" w:rsidRPr="005C19BB" w:rsidRDefault="005C19BB" w:rsidP="005C19BB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19BB" w:rsidRPr="005C19BB" w:rsidRDefault="005C19BB" w:rsidP="005C19BB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500" cy="3189768"/>
            <wp:effectExtent l="19050" t="0" r="970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9BB" w:rsidRPr="005C19BB" w:rsidRDefault="005C19BB" w:rsidP="005C19BB">
      <w:pPr>
        <w:suppressAutoHyphens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19BB">
        <w:rPr>
          <w:rFonts w:ascii="Times New Roman" w:eastAsia="Times New Roman" w:hAnsi="Times New Roman"/>
          <w:sz w:val="28"/>
          <w:szCs w:val="28"/>
          <w:lang w:eastAsia="ar-SA"/>
        </w:rPr>
        <w:t>В период 201</w:t>
      </w:r>
      <w:r w:rsidR="00A13437">
        <w:rPr>
          <w:rFonts w:ascii="Times New Roman" w:eastAsia="Times New Roman" w:hAnsi="Times New Roman"/>
          <w:sz w:val="28"/>
          <w:szCs w:val="28"/>
          <w:lang w:eastAsia="ar-SA"/>
        </w:rPr>
        <w:t>8 - 2020</w:t>
      </w:r>
      <w:r w:rsidRPr="005C19B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прогнозируется сохранение сложившейся структуры занятости. Основная часть работающих будет сосредоточена на 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градообразующем предприятии </w:t>
      </w:r>
      <w:proofErr w:type="spellStart"/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Сосьвинское</w:t>
      </w:r>
      <w:proofErr w:type="spellEnd"/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ЛПУ МГ – </w:t>
      </w:r>
      <w:r w:rsidR="00A1343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64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% от общего количества занятых в экономике.</w:t>
      </w:r>
    </w:p>
    <w:p w:rsidR="005C19BB" w:rsidRPr="005C19BB" w:rsidRDefault="005C19BB" w:rsidP="005C19B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01.01.2017 года численность безработных граждан зарегистрированных в службе занятости составила 4 человека и понизилась по сравнению с 2016 годом на 3 человека. Жители не регистрируется в центре занятости. Население, в том числе и молодежь, проживающее в сельской местности, </w:t>
      </w:r>
      <w:proofErr w:type="spellStart"/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маломобильно</w:t>
      </w:r>
      <w:proofErr w:type="spellEnd"/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, не желает обучаться рабочим профессиям с целью поиска работы в других территориях округа и России.</w:t>
      </w:r>
    </w:p>
    <w:p w:rsidR="005C19BB" w:rsidRPr="005C19BB" w:rsidRDefault="005C19BB" w:rsidP="005C19BB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9B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сельского поселения проводится большая работа по организации общественных работ, к которым привлекаются граждане, стоящие на учете в центре занятости по безработице и подростки во время летних каникул.</w:t>
      </w:r>
    </w:p>
    <w:p w:rsidR="005C19BB" w:rsidRPr="005C19BB" w:rsidRDefault="005C19BB" w:rsidP="005C19B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позитивной динамики на рынке труда действует муниципальная программа «Содействие занятости населения в сельском поселении Хулимсунт на 2016–2020 годы», </w:t>
      </w: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программы - обеспечение гарантий, предусмотренных Законом Российской Федерации "О занятости населения в Российской Федерации".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граждан. </w:t>
      </w:r>
    </w:p>
    <w:p w:rsidR="005C19BB" w:rsidRDefault="005C19BB" w:rsidP="005C19B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C19BB">
        <w:rPr>
          <w:rFonts w:ascii="Times New Roman" w:eastAsia="Times New Roman" w:hAnsi="Times New Roman"/>
          <w:sz w:val="28"/>
          <w:szCs w:val="28"/>
          <w:lang w:eastAsia="ru-RU"/>
        </w:rPr>
        <w:t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</w:t>
      </w:r>
    </w:p>
    <w:p w:rsidR="00A13437" w:rsidRDefault="00A13437" w:rsidP="005C19B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437" w:rsidRPr="00A13437" w:rsidRDefault="00A13437" w:rsidP="00A1343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b/>
          <w:sz w:val="28"/>
          <w:szCs w:val="28"/>
          <w:lang w:eastAsia="ru-RU"/>
        </w:rPr>
        <w:t>3. Промышленность</w:t>
      </w:r>
    </w:p>
    <w:p w:rsidR="00A13437" w:rsidRPr="00A13437" w:rsidRDefault="00A13437" w:rsidP="00A134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3437" w:rsidRPr="00A13437" w:rsidRDefault="00A13437" w:rsidP="00A1343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развитие сельского поселения Хулимсунт предположительно будет развиваться по умеренно-оптимистическому сценарию, о чем говорят внутренние и внешние факторы.</w:t>
      </w:r>
    </w:p>
    <w:p w:rsidR="00A13437" w:rsidRPr="00A13437" w:rsidRDefault="00A13437" w:rsidP="00A13437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Хулимсунт градообразующее предприятие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Сосьвинское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 ЛПУ МГ производит  такую промышленную продукцию как электроэнергия и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теплоэнергия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Основная деятельность градообразующего предприятия – транспорт газа по магистральным газопроводам в европейскую часть страны. </w:t>
      </w:r>
    </w:p>
    <w:p w:rsidR="00A13437" w:rsidRPr="00A13437" w:rsidRDefault="00A13437" w:rsidP="00A1343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Объем отгруженной продукции собственного производства, выполненных работ и услуг собственными силами в прогнозный период будет иметь устойчивую структуру.</w:t>
      </w:r>
    </w:p>
    <w:p w:rsidR="00A13437" w:rsidRPr="00A13437" w:rsidRDefault="00A13437" w:rsidP="00A1343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437" w:rsidRPr="00A13437" w:rsidRDefault="00A13437" w:rsidP="00A13437">
      <w:pPr>
        <w:tabs>
          <w:tab w:val="left" w:pos="567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0950" cy="2604770"/>
            <wp:effectExtent l="19050" t="0" r="25400" b="5080"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производства электроэнергии за 201</w:t>
      </w:r>
      <w:r w:rsidR="00E400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E40001">
        <w:rPr>
          <w:rFonts w:ascii="Times New Roman" w:eastAsia="Times New Roman" w:hAnsi="Times New Roman"/>
          <w:sz w:val="28"/>
          <w:szCs w:val="28"/>
          <w:lang w:eastAsia="ru-RU"/>
        </w:rPr>
        <w:t>3,545</w:t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кВт, что выше предыдущего периода на </w:t>
      </w:r>
      <w:r w:rsidR="00E40001">
        <w:rPr>
          <w:rFonts w:ascii="Times New Roman" w:eastAsia="Times New Roman" w:hAnsi="Times New Roman"/>
          <w:sz w:val="28"/>
          <w:szCs w:val="28"/>
          <w:lang w:eastAsia="ru-RU"/>
        </w:rPr>
        <w:t>25,5</w:t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%. Прогнозный период не предусматривает значительных колебаний в объеме выработки электроэнергии.</w:t>
      </w:r>
    </w:p>
    <w:p w:rsidR="00A13437" w:rsidRPr="00A13437" w:rsidRDefault="00A13437" w:rsidP="00A1343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обеспечение деятельности Сосьвинского ЛПУ МГ ООО «Газпром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Югорск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» осуществляет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Сосьвинская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автоколонна № 8 Югорского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УТТиСТ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«Газпром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Югорск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». Участок по ремонту и наладке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энергомеханического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при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Сосьвиснком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ЛПУ МГ филиал ДОАО «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Центрэнергогаз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» ОАО «Газпром» г.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Югорска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Сосьвинское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Югорский отряд охраны «Южно-Уральское межрегиональное управление охраны ОАО «Газпром», Югорское управление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аварийоно-восстановительных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ООО «Газпром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Югорск</w:t>
      </w:r>
      <w:proofErr w:type="spellEnd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13437" w:rsidRPr="00A13437" w:rsidRDefault="00A13437" w:rsidP="00A134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территории поселения поставщиком коммунальных услуг по обслуживанию жилого  фонда является  Управляющая компания ООО «Коммерческая Фирма «КЕДР». </w:t>
      </w:r>
    </w:p>
    <w:p w:rsidR="00A13437" w:rsidRPr="00A13437" w:rsidRDefault="00E40001" w:rsidP="00A1343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2016</w:t>
      </w:r>
      <w:r w:rsidR="00A13437"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потребление электроэнергии всеми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 потребителей составило 1,835 тыс. кВ/ч, в 2017</w:t>
      </w:r>
      <w:r w:rsidR="00A13437"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составило 905</w:t>
      </w:r>
      <w:r w:rsidR="00A13437" w:rsidRPr="00A13437">
        <w:rPr>
          <w:rFonts w:ascii="Times New Roman" w:eastAsia="Times New Roman" w:hAnsi="Times New Roman"/>
          <w:sz w:val="28"/>
          <w:szCs w:val="28"/>
          <w:lang w:eastAsia="ru-RU"/>
        </w:rPr>
        <w:t>,0 тыс. кВ/ч.</w:t>
      </w:r>
    </w:p>
    <w:p w:rsidR="00A13437" w:rsidRDefault="00A13437" w:rsidP="00A1343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Пищевая промышленность сельского поселения представлена предприятием  </w:t>
      </w:r>
      <w:r w:rsidR="00E40001" w:rsidRPr="00A13437">
        <w:rPr>
          <w:rFonts w:ascii="Times New Roman" w:eastAsia="Times New Roman" w:hAnsi="Times New Roman"/>
          <w:sz w:val="28"/>
          <w:szCs w:val="28"/>
          <w:lang w:eastAsia="ru-RU"/>
        </w:rPr>
        <w:t>ДООО «Хлеб» ОАО «</w:t>
      </w:r>
      <w:proofErr w:type="spellStart"/>
      <w:r w:rsidR="00E40001" w:rsidRPr="00A13437">
        <w:rPr>
          <w:rFonts w:ascii="Times New Roman" w:eastAsia="Times New Roman" w:hAnsi="Times New Roman"/>
          <w:sz w:val="28"/>
          <w:szCs w:val="28"/>
          <w:lang w:eastAsia="ru-RU"/>
        </w:rPr>
        <w:t>Игримторг</w:t>
      </w:r>
      <w:proofErr w:type="spellEnd"/>
      <w:r w:rsidR="00E40001"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с. </w:t>
      </w:r>
      <w:proofErr w:type="spellStart"/>
      <w:r w:rsidR="00E40001" w:rsidRPr="00A13437">
        <w:rPr>
          <w:rFonts w:ascii="Times New Roman" w:eastAsia="Times New Roman" w:hAnsi="Times New Roman"/>
          <w:sz w:val="28"/>
          <w:szCs w:val="28"/>
          <w:lang w:eastAsia="ru-RU"/>
        </w:rPr>
        <w:t>Няксимволь</w:t>
      </w:r>
      <w:proofErr w:type="spellEnd"/>
      <w:r w:rsidR="00E40001" w:rsidRPr="00A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437">
        <w:rPr>
          <w:rFonts w:ascii="Times New Roman" w:eastAsia="Times New Roman" w:hAnsi="Times New Roman"/>
          <w:sz w:val="28"/>
          <w:szCs w:val="28"/>
          <w:lang w:eastAsia="ru-RU"/>
        </w:rPr>
        <w:t>изготавливающим хлеб и хлебобулочные изделия</w:t>
      </w:r>
      <w:r w:rsidR="00E400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02706D" w:rsidRDefault="0002706D" w:rsidP="00A1343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06D" w:rsidRPr="0002706D" w:rsidRDefault="0002706D" w:rsidP="000270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6D">
        <w:rPr>
          <w:rFonts w:ascii="Times New Roman" w:eastAsia="Times New Roman" w:hAnsi="Times New Roman"/>
          <w:b/>
          <w:sz w:val="28"/>
          <w:szCs w:val="28"/>
          <w:lang w:eastAsia="ru-RU"/>
        </w:rPr>
        <w:t>4. Транспорт и связь</w:t>
      </w:r>
    </w:p>
    <w:p w:rsidR="0002706D" w:rsidRPr="0002706D" w:rsidRDefault="0002706D" w:rsidP="0002706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6D">
        <w:rPr>
          <w:rFonts w:ascii="Times New Roman" w:eastAsia="Times New Roman" w:hAnsi="Times New Roman"/>
          <w:b/>
          <w:sz w:val="28"/>
          <w:szCs w:val="28"/>
          <w:lang w:eastAsia="ru-RU"/>
        </w:rPr>
        <w:t>4.1.Транспорт</w:t>
      </w:r>
    </w:p>
    <w:p w:rsidR="0002706D" w:rsidRPr="0002706D" w:rsidRDefault="0002706D" w:rsidP="0002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6D" w:rsidRPr="0002706D" w:rsidRDefault="0002706D" w:rsidP="00027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имеет сложную транспортную схему, а именно имеет ограничения по наземному сообщению. Основным видом транспортного </w:t>
      </w: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сообщения является воздушное сообщение.</w:t>
      </w:r>
      <w:r w:rsidRPr="000270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>Авиасообщение обеспечивается авиакомпаниями ОАО «ЮТЭИР» и ОАО «</w:t>
      </w:r>
      <w:proofErr w:type="spellStart"/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>Газпромавиа</w:t>
      </w:r>
      <w:proofErr w:type="spellEnd"/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2706D" w:rsidRPr="00A07DED" w:rsidRDefault="0002706D" w:rsidP="000270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6D">
        <w:rPr>
          <w:rFonts w:ascii="Times New Roman" w:hAnsi="Times New Roman"/>
          <w:color w:val="000000"/>
          <w:sz w:val="28"/>
          <w:szCs w:val="28"/>
        </w:rPr>
        <w:t>На территории поселения дороги с общей протяженностью 8,775 км. Дорожную деятельность на территории муниципального образования,  финансирование содержания ведомственных автомобильных дорог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</w:t>
      </w:r>
      <w:r w:rsidRPr="0002706D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Хулимсунт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 w:rsidRPr="0002706D">
        <w:rPr>
          <w:rFonts w:ascii="Times New Roman" w:hAnsi="Times New Roman"/>
          <w:color w:val="000000"/>
          <w:sz w:val="28"/>
          <w:szCs w:val="28"/>
        </w:rPr>
        <w:t xml:space="preserve">одержание зимних автомобильных дорог и ледовых переправ осуществляет </w:t>
      </w:r>
      <w:proofErr w:type="spellStart"/>
      <w:r w:rsidRPr="0002706D">
        <w:rPr>
          <w:rFonts w:ascii="Times New Roman" w:hAnsi="Times New Roman"/>
          <w:color w:val="000000"/>
          <w:sz w:val="28"/>
          <w:szCs w:val="28"/>
        </w:rPr>
        <w:t>Сосьвинское</w:t>
      </w:r>
      <w:proofErr w:type="spellEnd"/>
      <w:r w:rsidRPr="0002706D">
        <w:rPr>
          <w:rFonts w:ascii="Times New Roman" w:hAnsi="Times New Roman"/>
          <w:color w:val="000000"/>
          <w:sz w:val="28"/>
          <w:szCs w:val="28"/>
        </w:rPr>
        <w:t xml:space="preserve"> ЛПУ М</w:t>
      </w:r>
      <w:r>
        <w:rPr>
          <w:rFonts w:ascii="Times New Roman" w:hAnsi="Times New Roman"/>
          <w:color w:val="000000"/>
          <w:sz w:val="28"/>
          <w:szCs w:val="28"/>
        </w:rPr>
        <w:t xml:space="preserve">Г ООО «Газпром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Югорск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02706D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2706D">
        <w:rPr>
          <w:rFonts w:ascii="Times New Roman" w:hAnsi="Times New Roman"/>
          <w:color w:val="000000"/>
          <w:sz w:val="28"/>
          <w:szCs w:val="28"/>
        </w:rPr>
        <w:t xml:space="preserve"> год на содержание и расчистку дорог от снега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2706D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270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запланированы денежные средства в размере </w:t>
      </w:r>
      <w:r w:rsidRPr="00A07DED">
        <w:rPr>
          <w:rFonts w:ascii="Times New Roman" w:hAnsi="Times New Roman" w:cs="Times New Roman"/>
          <w:sz w:val="28"/>
          <w:szCs w:val="28"/>
        </w:rPr>
        <w:t xml:space="preserve">3801,7 тыс. рублей. </w:t>
      </w:r>
    </w:p>
    <w:p w:rsidR="007B67CD" w:rsidRDefault="0002706D" w:rsidP="00027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зимнее время используются зимники. Расстояние до районного центра –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67CD">
        <w:rPr>
          <w:rFonts w:ascii="Times New Roman" w:eastAsia="Times New Roman" w:hAnsi="Times New Roman"/>
          <w:sz w:val="28"/>
          <w:szCs w:val="28"/>
          <w:lang w:eastAsia="ru-RU"/>
        </w:rPr>
        <w:t xml:space="preserve"> 320</w:t>
      </w: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 xml:space="preserve"> км,  до ближайшего города </w:t>
      </w:r>
      <w:proofErr w:type="spellStart"/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>Югорска</w:t>
      </w:r>
      <w:proofErr w:type="spellEnd"/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имеющего железнодорожное сообщение, - 239,3 км. </w:t>
      </w:r>
    </w:p>
    <w:p w:rsidR="0002706D" w:rsidRDefault="0002706D" w:rsidP="00027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06D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сельское поселение не имеет наземных муниципальных, региональных, федеральных  дорог. Именно сложная транспортная схема и отсутствие дорог, соответствующих требованиям является главным препятствием для осуществления инвестиционной политики на территории поселения.</w:t>
      </w:r>
    </w:p>
    <w:p w:rsidR="0019143B" w:rsidRDefault="0019143B" w:rsidP="00027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b/>
          <w:sz w:val="28"/>
          <w:szCs w:val="28"/>
          <w:lang w:eastAsia="ru-RU"/>
        </w:rPr>
        <w:t>4.2. Связь</w:t>
      </w:r>
    </w:p>
    <w:p w:rsidR="0019143B" w:rsidRPr="0019143B" w:rsidRDefault="0019143B" w:rsidP="001914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43B" w:rsidRPr="0019143B" w:rsidRDefault="0019143B" w:rsidP="0019143B">
      <w:pPr>
        <w:tabs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Основным оператором связи в поселении является УТС «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Югорскгазтелеком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» ООО «Газпром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Югорск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», оказывающим услуги местной телефонной связи. Присоединенными операторами телефонной связи являются ОАО «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». Основными видами услуг на территории поселения, оказываемыми данными организациями, являются услуги электросвязи –  междугородной, международной телефонной и документальной связи, факсимильной связи.</w:t>
      </w:r>
    </w:p>
    <w:p w:rsidR="0019143B" w:rsidRPr="0019143B" w:rsidRDefault="0019143B" w:rsidP="0019143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территории поселения осуществляют свою деятельность операторы сотовой связи  «Мегафон», «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Ютел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» и «Теле 2». </w:t>
      </w:r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proofErr w:type="spellStart"/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>организицией</w:t>
      </w:r>
      <w:proofErr w:type="spellEnd"/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</w:t>
      </w:r>
      <w:proofErr w:type="spellStart"/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>» был проведен оптоволоконный интернет, в результате чего компании «Мегафон» стала доступна возможность подключения 3</w:t>
      </w:r>
      <w:r w:rsidR="006F05E3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и распределения его абонентам сети  на территории д. Хулимсунт.</w:t>
      </w:r>
    </w:p>
    <w:p w:rsidR="0019143B" w:rsidRPr="0019143B" w:rsidRDefault="0019143B" w:rsidP="0019143B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ООО «Газпром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Югорск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Сосьвинское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ЛПУ МГ оказывает  услуги кабельного телевидения, с подключенными цифровыми телеканалами.  </w:t>
      </w:r>
    </w:p>
    <w:p w:rsidR="0019143B" w:rsidRPr="0019143B" w:rsidRDefault="0019143B" w:rsidP="0019143B">
      <w:pPr>
        <w:tabs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осуществляет свою деятельность отделение почтовой связи Белоярского почтамта УФПС ХМАО, филиала ФГУП «Почта России». Основной функцией отделения почтовой связи являются прием и отправка  почтовой корреспонденции. Также отделение почтовой связи  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дополнительные услуги по регистрации иностранных граждан, страхованию автомобилей, лодочных моторов, реализуются сопутствующие товары, периодические печатные издания, печатная продукция, товары народного потребления.</w:t>
      </w:r>
    </w:p>
    <w:p w:rsidR="0019143B" w:rsidRDefault="0019143B" w:rsidP="0019143B">
      <w:pPr>
        <w:tabs>
          <w:tab w:val="left" w:pos="56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почтовой связи осуществляет  прием обязательных платежей (государственной пошлины) от населения, платежей за услуги связи, денежные переводы. </w:t>
      </w:r>
    </w:p>
    <w:p w:rsidR="004B3136" w:rsidRDefault="004B3136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b/>
          <w:sz w:val="28"/>
          <w:szCs w:val="28"/>
          <w:lang w:eastAsia="ru-RU"/>
        </w:rPr>
        <w:t>5. Предпринимательство</w:t>
      </w:r>
    </w:p>
    <w:p w:rsidR="0019143B" w:rsidRPr="0019143B" w:rsidRDefault="0019143B" w:rsidP="001914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на территории поселения</w:t>
      </w:r>
      <w:r w:rsidRPr="001914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деятельность 10 предпринимателей в сфере торговли. Этот  сектор экономики не только обеспечивает жителей территории всеми необходимыми товарами и большей частью услуг, но и организует занятость людей, численность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чел., что положительно отра</w:t>
      </w:r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жается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социальной обстановке в поселении. Несмотря на низкую инвестиционную привлекательность поселения, оборот торговли находится на относительно стабильном уровне.</w:t>
      </w: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Спрос на предоставляемые товары на территории сельского поселения остается на стабильном уровне, а предпринимательская активность населения ежегодно увеличивается.</w:t>
      </w:r>
    </w:p>
    <w:p w:rsid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К проблемам развития отрасли можно отнести сложную транспортную схему, недостаточное развитие прогрессивных методов обслуживания.</w:t>
      </w:r>
    </w:p>
    <w:p w:rsid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3B" w:rsidRPr="0019143B" w:rsidRDefault="005A15A4" w:rsidP="0019143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143B" w:rsidRPr="0019143B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19143B"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43B" w:rsidRPr="0019143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социальной сферы</w:t>
      </w:r>
    </w:p>
    <w:p w:rsidR="0019143B" w:rsidRPr="0019143B" w:rsidRDefault="0019143B" w:rsidP="001914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9143B" w:rsidRPr="0019143B" w:rsidRDefault="0019143B" w:rsidP="0019143B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учреждений социальной сферы поселения осуществляется в соответствии с мероприятиями, направленными на улучшение материально-технической базы данных учреждений в целях обеспечения повышения качества предоставляемых услуг и уровня жизни населения.  </w:t>
      </w:r>
    </w:p>
    <w:p w:rsidR="0019143B" w:rsidRPr="0019143B" w:rsidRDefault="0019143B" w:rsidP="0019143B">
      <w:pPr>
        <w:widowControl w:val="0"/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сегодняшний день функционируют детский сад «Комарик» 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0E3985" w:rsidRPr="00A07DED">
        <w:rPr>
          <w:rFonts w:ascii="Times New Roman" w:hAnsi="Times New Roman"/>
          <w:sz w:val="28"/>
          <w:szCs w:val="28"/>
        </w:rPr>
        <w:t>среднесписочной численностью 1</w:t>
      </w:r>
      <w:r w:rsidR="000E3985">
        <w:rPr>
          <w:rFonts w:ascii="Times New Roman" w:hAnsi="Times New Roman"/>
          <w:sz w:val="28"/>
          <w:szCs w:val="28"/>
        </w:rPr>
        <w:t>02 ребенка</w:t>
      </w:r>
      <w:r w:rsidR="000E3985" w:rsidRPr="00A07DED">
        <w:rPr>
          <w:rFonts w:ascii="Times New Roman" w:hAnsi="Times New Roman"/>
          <w:sz w:val="28"/>
          <w:szCs w:val="28"/>
        </w:rPr>
        <w:t xml:space="preserve"> (д. Хулимсунт)  и детский сад «</w:t>
      </w:r>
      <w:proofErr w:type="spellStart"/>
      <w:r w:rsidR="000E3985" w:rsidRPr="00A07DED">
        <w:rPr>
          <w:rFonts w:ascii="Times New Roman" w:hAnsi="Times New Roman"/>
          <w:sz w:val="28"/>
          <w:szCs w:val="28"/>
        </w:rPr>
        <w:t>Северяночка</w:t>
      </w:r>
      <w:proofErr w:type="spellEnd"/>
      <w:r w:rsidR="000E3985" w:rsidRPr="00A07DED">
        <w:rPr>
          <w:rFonts w:ascii="Times New Roman" w:hAnsi="Times New Roman"/>
          <w:sz w:val="28"/>
          <w:szCs w:val="28"/>
        </w:rPr>
        <w:t xml:space="preserve">» (с. </w:t>
      </w:r>
      <w:proofErr w:type="spellStart"/>
      <w:r w:rsidR="000E3985" w:rsidRPr="00A07DED">
        <w:rPr>
          <w:rFonts w:ascii="Times New Roman" w:hAnsi="Times New Roman"/>
          <w:sz w:val="28"/>
          <w:szCs w:val="28"/>
        </w:rPr>
        <w:t>Няксимволь</w:t>
      </w:r>
      <w:proofErr w:type="spellEnd"/>
      <w:r w:rsidR="000E3985" w:rsidRPr="00A07DED">
        <w:rPr>
          <w:rFonts w:ascii="Times New Roman" w:hAnsi="Times New Roman"/>
          <w:sz w:val="28"/>
          <w:szCs w:val="28"/>
        </w:rPr>
        <w:t>)</w:t>
      </w:r>
      <w:r w:rsidR="000E3985">
        <w:rPr>
          <w:rFonts w:ascii="Times New Roman" w:hAnsi="Times New Roman"/>
          <w:sz w:val="28"/>
          <w:szCs w:val="28"/>
        </w:rPr>
        <w:t>- среднесписочная численность 35 детей.</w:t>
      </w:r>
    </w:p>
    <w:p w:rsidR="0019143B" w:rsidRPr="0019143B" w:rsidRDefault="0019143B" w:rsidP="0019143B">
      <w:pPr>
        <w:widowControl w:val="0"/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ab/>
        <w:t>В 201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детский сад посещали 12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что на 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10 детей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чем в 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текущем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периоде. В 201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 1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985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43B" w:rsidRPr="0019143B" w:rsidRDefault="0019143B" w:rsidP="001914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имеются  </w:t>
      </w:r>
      <w:proofErr w:type="spellStart"/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Хулимсунтская</w:t>
      </w:r>
      <w:proofErr w:type="spellEnd"/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СОШ, </w:t>
      </w:r>
      <w:proofErr w:type="spellStart"/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Няксимвольская</w:t>
      </w:r>
      <w:proofErr w:type="spellEnd"/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– общей </w:t>
      </w:r>
      <w:r w:rsidR="000E3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среднесписочной численностью </w:t>
      </w:r>
      <w:r w:rsidR="007F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260 человек, в 2017 году, что на 3 учащихся меньше чем в предыдущем году. В прогнозном периоде ожидается 267 учащихся</w:t>
      </w:r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Также  в</w:t>
      </w:r>
      <w:r w:rsidR="007F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Хулимсунт </w:t>
      </w:r>
      <w:r w:rsidR="007F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ведет </w:t>
      </w:r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деятельность 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«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Хулимсунтская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7F43E7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среднесписочная численность в текущем периоде  80 человек.</w:t>
      </w:r>
    </w:p>
    <w:p w:rsidR="0019143B" w:rsidRPr="0019143B" w:rsidRDefault="0019143B" w:rsidP="0019143B">
      <w:pPr>
        <w:widowControl w:val="0"/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д. Хулимсунт остро стоит вопрос ветхости и изношенности существующих зданий как дошкольных, так и общеобразовательных учреждений.</w:t>
      </w:r>
    </w:p>
    <w:p w:rsidR="0019143B" w:rsidRPr="0019143B" w:rsidRDefault="0019143B" w:rsidP="0019143B">
      <w:pPr>
        <w:widowControl w:val="0"/>
        <w:tabs>
          <w:tab w:val="left" w:pos="567"/>
          <w:tab w:val="left" w:pos="13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"Развитие образования в Березовском районе на 2014 - 2020 годы"</w:t>
      </w:r>
      <w:r w:rsidRPr="0019143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продолжается строительство, образовательно-культурного комплекса в д. Хулимсунт на 140/75 мест.</w:t>
      </w:r>
      <w:r w:rsidR="007F43E7">
        <w:rPr>
          <w:rFonts w:ascii="Times New Roman" w:eastAsia="Times New Roman" w:hAnsi="Times New Roman"/>
          <w:sz w:val="28"/>
          <w:szCs w:val="24"/>
          <w:lang w:eastAsia="ru-RU"/>
        </w:rPr>
        <w:t xml:space="preserve"> Сдача учреждения запланирована на 2018 год.</w:t>
      </w:r>
    </w:p>
    <w:p w:rsidR="0019143B" w:rsidRPr="0019143B" w:rsidRDefault="007F43E7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="0019143B"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проводились ремонтные работы в детском саду "Комарик" д. Хулимсунт, в рамках мероприятий муниципальной программы "Развитие образования в Березовском районе на 2014-2018 годы". </w:t>
      </w: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В 2016 году началось строительство бассейна для жителей д. Хулимсунт на 4 дорожки длинной 25 метров. Инвес</w:t>
      </w:r>
      <w:r w:rsidR="007F43E7">
        <w:rPr>
          <w:rFonts w:ascii="Times New Roman" w:eastAsia="Times New Roman" w:hAnsi="Times New Roman"/>
          <w:sz w:val="28"/>
          <w:szCs w:val="28"/>
          <w:lang w:eastAsia="ru-RU"/>
        </w:rPr>
        <w:t>торами строительства являются   ОА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F43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Газпром</w:t>
      </w:r>
      <w:r w:rsidR="007F43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43B" w:rsidRPr="0019143B" w:rsidRDefault="0019143B" w:rsidP="001914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В  поселении осуществляют свою деятельность  учреждения культуры, такие как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Няксимвольский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КДЦ, имеющее в своей структуре библиотеку;  ДК «Фортуна»</w:t>
      </w:r>
      <w:r w:rsid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91C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физкультурно-оздоровительный комплекс</w:t>
      </w:r>
      <w:r w:rsidR="00875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д. Хулимсунт.</w:t>
      </w:r>
    </w:p>
    <w:p w:rsidR="0019143B" w:rsidRPr="0019143B" w:rsidRDefault="0019143B" w:rsidP="0019143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функционирует 2 лечебных учреждения – МБУЗ Березовская ЦРБ в д. Хулимсунт и с МБУЗ Березовская ЦРБ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Няксимвольская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врачебная амбулатория  общей пропускной способностью 80 человек в смену. </w:t>
      </w:r>
    </w:p>
    <w:p w:rsidR="0019143B" w:rsidRDefault="0019143B" w:rsidP="0019143B">
      <w:pPr>
        <w:tabs>
          <w:tab w:val="left" w:pos="567"/>
        </w:tabs>
        <w:spacing w:after="0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 xml:space="preserve">К другим учреждениям социальной сферы относятся отделения сбербанка, </w:t>
      </w:r>
      <w:proofErr w:type="spellStart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газпромбанка</w:t>
      </w:r>
      <w:proofErr w:type="spellEnd"/>
      <w:r w:rsidRPr="0019143B">
        <w:rPr>
          <w:rFonts w:ascii="Times New Roman" w:eastAsia="Times New Roman" w:hAnsi="Times New Roman"/>
          <w:sz w:val="28"/>
          <w:szCs w:val="28"/>
          <w:lang w:eastAsia="ru-RU"/>
        </w:rPr>
        <w:t>, почтовой связи, учреждения торговли (10 магазинов промышленных и продуктовых товаров) и общественного питания (1 столовая), общежитие на 75 мест.</w:t>
      </w:r>
    </w:p>
    <w:p w:rsidR="0087591C" w:rsidRDefault="0087591C" w:rsidP="0019143B">
      <w:pPr>
        <w:tabs>
          <w:tab w:val="left" w:pos="567"/>
        </w:tabs>
        <w:spacing w:after="0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5A4" w:rsidRDefault="005A15A4" w:rsidP="0087591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91C" w:rsidRPr="0087591C" w:rsidRDefault="0087591C" w:rsidP="0087591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b/>
          <w:sz w:val="28"/>
          <w:szCs w:val="28"/>
          <w:lang w:eastAsia="ru-RU"/>
        </w:rPr>
        <w:t>7. Денежные доходы и расходы населения</w:t>
      </w:r>
    </w:p>
    <w:p w:rsidR="0087591C" w:rsidRPr="0087591C" w:rsidRDefault="0087591C" w:rsidP="0087591C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91C" w:rsidRPr="0087591C" w:rsidRDefault="0087591C" w:rsidP="008759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денежных доходов населения основную долю занимает заработная плата, имеющая тенденцию к увеличению. </w:t>
      </w:r>
    </w:p>
    <w:p w:rsidR="0087591C" w:rsidRPr="0087591C" w:rsidRDefault="0087591C" w:rsidP="008759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масса населения работает на градообразующем предприятии Сосьвинском ЛПУ МГ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409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числа занятых в экономике.   </w:t>
      </w:r>
    </w:p>
    <w:p w:rsidR="0087591C" w:rsidRPr="0087591C" w:rsidRDefault="0087591C" w:rsidP="008759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сохраняются существенные различия в оплатах труда по видам экономической деятельности. </w:t>
      </w:r>
    </w:p>
    <w:p w:rsidR="0087591C" w:rsidRPr="0087591C" w:rsidRDefault="0087591C" w:rsidP="0087591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высокий уровень заработной платы сохраняется на предприятиях ООО «Газпром», средняя заработная плата составляет  98 788,00  рублей.</w:t>
      </w:r>
    </w:p>
    <w:p w:rsidR="0087591C" w:rsidRPr="0087591C" w:rsidRDefault="0087591C" w:rsidP="0087591C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ab/>
        <w:t>По оценке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величина среднедушевых денежных доходов населения составит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35805,83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рублей,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34100,79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рублей. В 201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будет положительная динамика среднедушевых денежных доходов населения в абсолютном выражении за счет оплаты труда и социальных выплат. </w:t>
      </w:r>
    </w:p>
    <w:p w:rsidR="0087591C" w:rsidRPr="0087591C" w:rsidRDefault="0087591C" w:rsidP="0087591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Величина прожиточного минимума в среднем на душу населения по Ханты – Мансийскому округу в 201</w:t>
      </w:r>
      <w:r w:rsidR="0070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75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составила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14888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рублей, по предварительной оценке в 201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прожиточный минимум составит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14678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87591C" w:rsidRPr="0087591C" w:rsidRDefault="0087591C" w:rsidP="0087591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ab/>
        <w:t>В области пенсионного обеспечения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редний размер доходов неработающего пенсионера в денежном выражении составил в 201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20435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рублей, в 201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70246B" w:rsidRPr="0070246B">
        <w:rPr>
          <w:rFonts w:ascii="Times New Roman" w:eastAsia="Times New Roman" w:hAnsi="Times New Roman"/>
          <w:sz w:val="28"/>
          <w:szCs w:val="28"/>
          <w:lang w:eastAsia="ru-RU"/>
        </w:rPr>
        <w:t>21200</w:t>
      </w:r>
      <w:r w:rsidR="0070246B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>рублей. Трудовые пенсии в прогнозном периоде будут индексироваться в соответствии с нормами ФЗ «О трудовых пенсиях в РФ» с учетом индексации потребительских цен.</w:t>
      </w:r>
    </w:p>
    <w:p w:rsidR="0087591C" w:rsidRDefault="0087591C" w:rsidP="008759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статьей расходов населения остаются покупка товаров, оплата услуг и общественное питание, на которые в 2015 году направлены около 71,9% от общего объема денежных расходов, по оценке 2016 года 73,4%. </w:t>
      </w:r>
    </w:p>
    <w:p w:rsidR="00B33ABF" w:rsidRDefault="00B33ABF" w:rsidP="008759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ABF" w:rsidRPr="00B33ABF" w:rsidRDefault="00B33ABF" w:rsidP="00B33AB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ABF">
        <w:rPr>
          <w:rFonts w:ascii="Times New Roman" w:eastAsia="Times New Roman" w:hAnsi="Times New Roman"/>
          <w:b/>
          <w:sz w:val="28"/>
          <w:szCs w:val="28"/>
          <w:lang w:eastAsia="ru-RU"/>
        </w:rPr>
        <w:t>8. Муниципальные финансы.</w:t>
      </w:r>
    </w:p>
    <w:p w:rsidR="00B33ABF" w:rsidRPr="00B33ABF" w:rsidRDefault="00B33ABF" w:rsidP="00B33A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ABF" w:rsidRPr="00B33ABF" w:rsidRDefault="00B33ABF" w:rsidP="00B33A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доходной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2018 год и плановый период 2019 - 2020</w:t>
      </w:r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осуществлено на основе действующего федерального и регионального законодательства с учетом нормативно - правовых требований Бюджетного кодекса РФ, Налогового кодекса РФ, нормативно – правовых актов Ханты - Мансийского автономного округа и Березовского района, муниципальных правовых актов сельского поселения Хулимсунт, изменений и дополнений к ним. </w:t>
      </w:r>
      <w:proofErr w:type="gramEnd"/>
    </w:p>
    <w:p w:rsidR="00B33ABF" w:rsidRPr="00B33ABF" w:rsidRDefault="00B33ABF" w:rsidP="00B33AB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</w:t>
      </w:r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бюджет сельского поселения Хулимсунт поступило </w:t>
      </w:r>
      <w:r w:rsidR="00A63A6F">
        <w:rPr>
          <w:rFonts w:ascii="Times New Roman" w:eastAsia="Times New Roman" w:hAnsi="Times New Roman"/>
          <w:sz w:val="28"/>
          <w:szCs w:val="28"/>
          <w:lang w:eastAsia="ru-RU"/>
        </w:rPr>
        <w:t>32,529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что выше на </w:t>
      </w:r>
      <w:r w:rsidR="00A63A6F">
        <w:rPr>
          <w:rFonts w:ascii="Times New Roman" w:eastAsia="Times New Roman" w:hAnsi="Times New Roman"/>
          <w:sz w:val="28"/>
          <w:szCs w:val="28"/>
          <w:lang w:eastAsia="ru-RU"/>
        </w:rPr>
        <w:t>4,9</w:t>
      </w:r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 xml:space="preserve"> % по отношению к предыдущему периоду.</w:t>
      </w:r>
    </w:p>
    <w:p w:rsidR="00B33ABF" w:rsidRDefault="00B33ABF" w:rsidP="00B33AB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ABF">
        <w:rPr>
          <w:rFonts w:ascii="Times New Roman" w:eastAsia="Times New Roman" w:hAnsi="Times New Roman"/>
          <w:sz w:val="28"/>
          <w:szCs w:val="28"/>
          <w:lang w:eastAsia="ru-RU"/>
        </w:rPr>
        <w:t>Доходы в бюджетную систему сельского поселения Хулимсунт формируются за счёт налоговых и неналоговых поступлений, безвозмездных поступлений.</w:t>
      </w:r>
    </w:p>
    <w:p w:rsidR="00A63A6F" w:rsidRDefault="00A63A6F" w:rsidP="00B33AB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A6F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поступления доходов в консолидированный бюджет сельского поселения Хулимсунт</w:t>
      </w:r>
    </w:p>
    <w:p w:rsidR="00A63A6F" w:rsidRPr="00A63A6F" w:rsidRDefault="00A63A6F" w:rsidP="00A63A6F">
      <w:pPr>
        <w:tabs>
          <w:tab w:val="left" w:pos="567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9995" cy="3115310"/>
            <wp:effectExtent l="19050" t="0" r="27305" b="889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доля поступлений в бюджет на 201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33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  сформирована за счет безвозмездных поступлений в объеме 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22,527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руб. или 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69,8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 всех поступлений в бюджет, налоговых доходов в объеме 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11,669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рублей или </w:t>
      </w:r>
      <w:r w:rsidR="00633DC8" w:rsidRPr="00633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6,2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неналоговых доходов в объеме 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0,937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руб. или </w:t>
      </w:r>
      <w:r w:rsidR="00994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2,9</w:t>
      </w:r>
      <w:r w:rsidRPr="00A6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         </w:t>
      </w: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A6F">
        <w:rPr>
          <w:rFonts w:ascii="Times New Roman" w:hAnsi="Times New Roman"/>
          <w:color w:val="000000"/>
          <w:sz w:val="28"/>
          <w:szCs w:val="28"/>
        </w:rPr>
        <w:t>В 201</w:t>
      </w:r>
      <w:r w:rsidR="00994286">
        <w:rPr>
          <w:rFonts w:ascii="Times New Roman" w:hAnsi="Times New Roman"/>
          <w:color w:val="000000"/>
          <w:sz w:val="28"/>
          <w:szCs w:val="28"/>
        </w:rPr>
        <w:t>7</w:t>
      </w:r>
      <w:r w:rsidRPr="00A63A6F">
        <w:rPr>
          <w:rFonts w:ascii="Times New Roman" w:hAnsi="Times New Roman"/>
          <w:color w:val="000000"/>
          <w:sz w:val="28"/>
          <w:szCs w:val="28"/>
        </w:rPr>
        <w:t xml:space="preserve"> году наибольшую долю  налоговых поступлений составил налог на доходы физических лиц  </w:t>
      </w:r>
      <w:r w:rsidR="00994286">
        <w:rPr>
          <w:rFonts w:ascii="Times New Roman" w:hAnsi="Times New Roman"/>
          <w:color w:val="000000"/>
          <w:sz w:val="28"/>
          <w:szCs w:val="28"/>
        </w:rPr>
        <w:t>11,373</w:t>
      </w:r>
      <w:r w:rsidRPr="00A63A6F">
        <w:rPr>
          <w:rFonts w:ascii="Times New Roman" w:hAnsi="Times New Roman"/>
          <w:color w:val="000000"/>
          <w:sz w:val="28"/>
          <w:szCs w:val="28"/>
        </w:rPr>
        <w:t xml:space="preserve"> млн. руб. или 9</w:t>
      </w:r>
      <w:r w:rsidR="00994286">
        <w:rPr>
          <w:rFonts w:ascii="Times New Roman" w:hAnsi="Times New Roman"/>
          <w:color w:val="000000"/>
          <w:sz w:val="28"/>
          <w:szCs w:val="28"/>
        </w:rPr>
        <w:t>7,4</w:t>
      </w:r>
      <w:r w:rsidRPr="00A63A6F">
        <w:rPr>
          <w:rFonts w:ascii="Times New Roman" w:hAnsi="Times New Roman"/>
          <w:color w:val="000000"/>
          <w:sz w:val="28"/>
          <w:szCs w:val="28"/>
        </w:rPr>
        <w:t xml:space="preserve">%. В предыдущем периоде данный вид налогов составил </w:t>
      </w:r>
      <w:r w:rsidR="00994286">
        <w:rPr>
          <w:rFonts w:ascii="Times New Roman" w:hAnsi="Times New Roman"/>
          <w:color w:val="000000"/>
          <w:sz w:val="28"/>
          <w:szCs w:val="28"/>
        </w:rPr>
        <w:t xml:space="preserve">11,944 </w:t>
      </w:r>
      <w:r w:rsidRPr="00A63A6F">
        <w:rPr>
          <w:rFonts w:ascii="Times New Roman" w:hAnsi="Times New Roman"/>
          <w:color w:val="000000"/>
          <w:sz w:val="28"/>
          <w:szCs w:val="28"/>
        </w:rPr>
        <w:t xml:space="preserve"> млн. </w:t>
      </w:r>
      <w:r w:rsidR="00994286">
        <w:rPr>
          <w:rFonts w:ascii="Times New Roman" w:hAnsi="Times New Roman"/>
          <w:color w:val="000000"/>
          <w:sz w:val="28"/>
          <w:szCs w:val="28"/>
        </w:rPr>
        <w:t xml:space="preserve">руб., что ниже уровня 2015 года. </w:t>
      </w:r>
      <w:r w:rsidRPr="00A63A6F">
        <w:rPr>
          <w:rFonts w:ascii="Times New Roman" w:hAnsi="Times New Roman"/>
          <w:color w:val="000000"/>
          <w:sz w:val="28"/>
          <w:szCs w:val="28"/>
        </w:rPr>
        <w:t>Прогнозный период будет без значительных колебаний.</w:t>
      </w: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>году субвенции в местный бюджет составили 0,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>426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руб., что 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201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008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по оценке 201</w:t>
      </w:r>
      <w:r w:rsidR="009942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поступление субвенций в местный бюджет будет немного 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ниже.</w:t>
      </w: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>Расходы консолидированного бюджета сельского поселения в 201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29,641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рублей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. По оценке в 2017 году р</w:t>
      </w:r>
      <w:r w:rsidR="00B16B1B" w:rsidRPr="00A63A6F">
        <w:rPr>
          <w:rFonts w:ascii="Times New Roman" w:eastAsia="Times New Roman" w:hAnsi="Times New Roman"/>
          <w:sz w:val="28"/>
          <w:szCs w:val="28"/>
          <w:lang w:eastAsia="ru-RU"/>
        </w:rPr>
        <w:t>асходы консолидированного бюджета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составят 30,094</w:t>
      </w:r>
      <w:r w:rsidR="00B16B1B" w:rsidRP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B1B"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</w:t>
      </w:r>
      <w:proofErr w:type="spellStart"/>
      <w:r w:rsidR="00B16B1B" w:rsidRPr="00A63A6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proofErr w:type="gramStart"/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Таким образом, в 201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proofErr w:type="spellStart"/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составил 2,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>590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а в 2017 году 5,039</w:t>
      </w:r>
      <w:r w:rsidRPr="00A63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B1B" w:rsidRPr="00A63A6F">
        <w:rPr>
          <w:rFonts w:ascii="Times New Roman" w:eastAsia="Times New Roman" w:hAnsi="Times New Roman"/>
          <w:sz w:val="28"/>
          <w:szCs w:val="28"/>
          <w:lang w:eastAsia="ru-RU"/>
        </w:rPr>
        <w:t>млн. руб</w:t>
      </w:r>
      <w:r w:rsid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3A6F" w:rsidRPr="00A63A6F" w:rsidRDefault="00A63A6F" w:rsidP="00A63A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5A4" w:rsidRDefault="005A15A4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B1B" w:rsidRPr="00B16B1B" w:rsidRDefault="00B16B1B" w:rsidP="00B16B1B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B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 и расходы  консолидированного бюджета сельского поселения Хулимсунт</w:t>
      </w:r>
    </w:p>
    <w:p w:rsidR="00A63A6F" w:rsidRPr="00B33ABF" w:rsidRDefault="00B16B1B" w:rsidP="00B16B1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200400"/>
            <wp:effectExtent l="19050" t="0" r="1905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3ABF" w:rsidRPr="0087591C" w:rsidRDefault="00B33ABF" w:rsidP="008759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B1B" w:rsidRPr="00B16B1B" w:rsidRDefault="00B16B1B" w:rsidP="00B16B1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B1B">
        <w:rPr>
          <w:rFonts w:ascii="Times New Roman" w:eastAsia="Times New Roman" w:hAnsi="Times New Roman"/>
          <w:b/>
          <w:sz w:val="28"/>
          <w:szCs w:val="28"/>
          <w:lang w:eastAsia="ru-RU"/>
        </w:rPr>
        <w:t>9. Жилищно-коммунальное хозяйство</w:t>
      </w:r>
    </w:p>
    <w:p w:rsidR="00B16B1B" w:rsidRPr="00B16B1B" w:rsidRDefault="00B16B1B" w:rsidP="00B16B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577" w:rsidRDefault="00B16B1B" w:rsidP="00B16B1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Муниципальный жилой фонд сельского поселения составляет </w:t>
      </w:r>
      <w:r w:rsidRPr="00B1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</w:t>
      </w:r>
      <w:r w:rsidRP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6F05E3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B16B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принадлежат администрации сельского поселения Хулимсунт</w:t>
      </w:r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B1B" w:rsidRPr="00B16B1B" w:rsidRDefault="00B16B1B" w:rsidP="00B16B1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B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территории сельского поселения услуги в сфере жилищно-коммунального хозяйства оказывает ООО *КФ*Кедр*.  </w:t>
      </w:r>
    </w:p>
    <w:p w:rsidR="004D7841" w:rsidRPr="004D7841" w:rsidRDefault="004D7841" w:rsidP="004D784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фирмой ООО *КФ*Кедр* выполнены работы по устранению внутриквартирных аварий различной степени сложности, обеспечена своевременная подготовка узлов подключения к эксплуатации в осенне-зимний период, осуществлялись работы по уборке придомовых территорий, подъездов жилых домов, проведена подготовка жилого фонда к ОЗП.</w:t>
      </w:r>
    </w:p>
    <w:p w:rsidR="0002706D" w:rsidRDefault="004D7841" w:rsidP="004D784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муниципальной программы «Развитие жилищно-коммунального комплекса и повышение энергетической эффективности в сельском поселении Хулимсунт на 2016-2020 годы» запланированы денежные средства в размере </w:t>
      </w:r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1,500 млн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>. рублей на актуализацию схем коммунальной инфраструктуры</w:t>
      </w:r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установку счетчиков в муниципальном жилом фонде</w:t>
      </w:r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 xml:space="preserve">, взносы на капитальный ремонт, реконструкция электросетей в </w:t>
      </w:r>
      <w:proofErr w:type="spellStart"/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836577">
        <w:rPr>
          <w:rFonts w:ascii="Times New Roman" w:eastAsia="Times New Roman" w:hAnsi="Times New Roman"/>
          <w:sz w:val="28"/>
          <w:szCs w:val="28"/>
          <w:lang w:eastAsia="ru-RU"/>
        </w:rPr>
        <w:t>. №5 в д. Хулимсунт.</w:t>
      </w:r>
    </w:p>
    <w:p w:rsidR="004D7841" w:rsidRDefault="004D7841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B3136" w:rsidRDefault="004B3136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136" w:rsidRDefault="004B3136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136" w:rsidRDefault="004B3136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841" w:rsidRPr="004D7841" w:rsidRDefault="005A15A4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7841" w:rsidRPr="004D7841">
        <w:rPr>
          <w:rFonts w:ascii="Times New Roman" w:eastAsia="Times New Roman" w:hAnsi="Times New Roman"/>
          <w:b/>
          <w:sz w:val="28"/>
          <w:szCs w:val="28"/>
          <w:lang w:eastAsia="ru-RU"/>
        </w:rPr>
        <w:t>10. Благоустройство</w:t>
      </w:r>
    </w:p>
    <w:p w:rsidR="004D7841" w:rsidRPr="004D7841" w:rsidRDefault="004D7841" w:rsidP="004D7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841" w:rsidRPr="004D7841" w:rsidRDefault="004D7841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Администрация сельского поселения Хулимсунт  организацию и проведение работ по благоустройству поселка Хулимсунт осуществляет посредством участия в окружных и районных муниципальных  программах.</w:t>
      </w:r>
    </w:p>
    <w:p w:rsidR="004D7841" w:rsidRPr="004D7841" w:rsidRDefault="004D7841" w:rsidP="004D7841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данных средств были</w:t>
      </w:r>
      <w:r w:rsidRPr="004D78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выплачены заработная плата гражданам, трудоустроенным на общественные работы, выплачена заработная плата несовершеннолетним гражданам, приобретены необходимые расходные материалы и хозяйственный инвентарь.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5F23" w:rsidRDefault="004D7841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муниципальной программы «Благоустройство территории сельского поселения Хулимсунт на 2016</w:t>
      </w:r>
      <w:r w:rsidR="00337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-2019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 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приобрела </w:t>
      </w:r>
      <w:r w:rsidR="00AA5F23" w:rsidRPr="004D7841">
        <w:rPr>
          <w:rFonts w:ascii="Times New Roman" w:eastAsia="Times New Roman" w:hAnsi="Times New Roman"/>
          <w:sz w:val="28"/>
          <w:szCs w:val="28"/>
          <w:lang w:eastAsia="ru-RU"/>
        </w:rPr>
        <w:t>игровы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5F23"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A5F23"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детских площадок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1,536 млн. руб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>Также в 2016 году был приобретен детский игровой комплекс на сумму 0,834 мл</w:t>
      </w:r>
      <w:r w:rsidR="000B2B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A5F23"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  <w:r w:rsidR="003373C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периоде запланированы средства по данной программе в размере 200 тыс. рублей на установку детского игрового</w:t>
      </w:r>
      <w:proofErr w:type="gramEnd"/>
      <w:r w:rsidR="003373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и игровых элементов; 600 тыс. рублей на ограждение и освещение детского городка.</w:t>
      </w:r>
    </w:p>
    <w:p w:rsidR="004D7841" w:rsidRPr="004D7841" w:rsidRDefault="004D7841" w:rsidP="004D784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Также в целях трудоустройства не занятых трудовой деятельностью и безработных граждан на 201</w:t>
      </w:r>
      <w:r w:rsidR="00EF5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</w:t>
      </w:r>
      <w:r w:rsidR="00EF5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денежные средства в размере 1014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рублей  по программе «Содействие занятости населения на территории сельского поселения Хулимсунт на 2016–2020 годы».</w:t>
      </w:r>
    </w:p>
    <w:p w:rsidR="004D7841" w:rsidRDefault="004D7841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>Ежегодно на территории сельского поселения   проводится акция «Лес победы», приуроченная победе в Великой отечественной войне. В 201</w:t>
      </w:r>
      <w:r w:rsidR="000B2B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7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приняли участие 38 человек. Задача данной акции состояла в озеленении территории, прилегающая к центральной дороге в поселении. В акции участвовали сотрудники администрации поселения, учителя и ученики общеобразовательной школы.</w:t>
      </w:r>
    </w:p>
    <w:p w:rsidR="00EF58E0" w:rsidRDefault="00836577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текущем периоде по программе  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«Благоустройство территории сельского поселения Хулимсунт на 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-2019</w:t>
      </w:r>
      <w:r w:rsidRPr="004D7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запланированы средства в размере 5,964 млн. рублей.</w:t>
      </w:r>
    </w:p>
    <w:p w:rsidR="0048678B" w:rsidRDefault="0048678B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78B" w:rsidRDefault="004C60DB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48678B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11. </w:t>
      </w:r>
      <w:r w:rsidR="005A1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2162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орожное хозяйство</w:t>
      </w:r>
      <w:r w:rsidR="00E12162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="0048678B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Дорожный фонд</w:t>
      </w:r>
      <w:r w:rsid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="0048678B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E12162" w:rsidRPr="00E121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A15A4" w:rsidRPr="00E12162" w:rsidRDefault="005A15A4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15A4" w:rsidRDefault="0048678B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12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бюджет 2017 года были включены денежные средства, которые поступили в местный бюджет от уплаты акцизов </w:t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нефтепродукты</w:t>
      </w:r>
      <w:r w:rsidR="00E12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Первоначальная запланированная сумма составляла 5067,1 тыс. рублей, при уточненном прогнозе поступления </w:t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доходов</w:t>
      </w:r>
      <w:r w:rsidR="00E12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уплаты акцизов на </w:t>
      </w:r>
      <w:r w:rsidR="00E12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нефтепродукты доходная часть уменьшилась на 1265,4  тыс. рублей и составила 3801,7 тыс. рублей.</w:t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678B" w:rsidRDefault="005A15A4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муниципальной программы «Развитие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транспортной</w:t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сельского поселении Хулимсунт на 2016-2020 годы» запл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анированы строительство</w:t>
      </w:r>
      <w:r w:rsidR="009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тротуар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 вертолетной площадке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яксимволь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ремонт автодороги по улице Лесная в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Няксимволь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обслуживание автодорог в сельском поселении.</w:t>
      </w:r>
    </w:p>
    <w:p w:rsidR="0060263F" w:rsidRDefault="0060263F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63F" w:rsidRDefault="0060263F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63F" w:rsidRDefault="0060263F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78B" w:rsidRPr="004D7841" w:rsidRDefault="0048678B" w:rsidP="000B2B6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841" w:rsidRPr="004D7841" w:rsidRDefault="004D7841" w:rsidP="004D784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841" w:rsidRDefault="004D7841" w:rsidP="004D784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841" w:rsidRPr="00A13437" w:rsidRDefault="004D7841" w:rsidP="004D784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437" w:rsidRPr="005C19BB" w:rsidRDefault="00A13437" w:rsidP="005C19BB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A35" w:rsidRPr="00943C88" w:rsidRDefault="00D02A35" w:rsidP="00D02A35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2A35" w:rsidRPr="00274666" w:rsidRDefault="00D02A35" w:rsidP="00274666">
      <w:pPr>
        <w:tabs>
          <w:tab w:val="left" w:pos="567"/>
          <w:tab w:val="left" w:pos="709"/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666" w:rsidRPr="00274666" w:rsidRDefault="00274666" w:rsidP="00274666">
      <w:pPr>
        <w:spacing w:after="0"/>
        <w:ind w:right="3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666" w:rsidRPr="00274666" w:rsidRDefault="00274666" w:rsidP="00274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3C8" w:rsidRPr="002E03C8" w:rsidRDefault="002E03C8" w:rsidP="002E03C8">
      <w:pPr>
        <w:tabs>
          <w:tab w:val="left" w:pos="567"/>
        </w:tabs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1CD" w:rsidRPr="00A07DED" w:rsidRDefault="009E31CD" w:rsidP="002E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E30" w:rsidRDefault="00B04E30"/>
    <w:sectPr w:rsidR="00B04E30" w:rsidSect="00B0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CE4"/>
    <w:multiLevelType w:val="hybridMultilevel"/>
    <w:tmpl w:val="AADEA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297"/>
    <w:rsid w:val="00012620"/>
    <w:rsid w:val="0002706D"/>
    <w:rsid w:val="00085651"/>
    <w:rsid w:val="000B0FEF"/>
    <w:rsid w:val="000B2B6D"/>
    <w:rsid w:val="000E3985"/>
    <w:rsid w:val="000F6D66"/>
    <w:rsid w:val="0019143B"/>
    <w:rsid w:val="00244017"/>
    <w:rsid w:val="00274666"/>
    <w:rsid w:val="002E03C8"/>
    <w:rsid w:val="003373CF"/>
    <w:rsid w:val="00375670"/>
    <w:rsid w:val="00393C29"/>
    <w:rsid w:val="003B3FB7"/>
    <w:rsid w:val="0048122D"/>
    <w:rsid w:val="0048678B"/>
    <w:rsid w:val="004B3136"/>
    <w:rsid w:val="004C60DB"/>
    <w:rsid w:val="004D7841"/>
    <w:rsid w:val="00595633"/>
    <w:rsid w:val="005A15A4"/>
    <w:rsid w:val="005C19BB"/>
    <w:rsid w:val="005E5780"/>
    <w:rsid w:val="0060263F"/>
    <w:rsid w:val="00633DC8"/>
    <w:rsid w:val="006610D6"/>
    <w:rsid w:val="0068433E"/>
    <w:rsid w:val="006F05E3"/>
    <w:rsid w:val="0070246B"/>
    <w:rsid w:val="00734810"/>
    <w:rsid w:val="007B67CD"/>
    <w:rsid w:val="007F43E7"/>
    <w:rsid w:val="00836577"/>
    <w:rsid w:val="00855503"/>
    <w:rsid w:val="0087591C"/>
    <w:rsid w:val="0088348D"/>
    <w:rsid w:val="008F1846"/>
    <w:rsid w:val="00943C88"/>
    <w:rsid w:val="009830CA"/>
    <w:rsid w:val="00994286"/>
    <w:rsid w:val="009E31CD"/>
    <w:rsid w:val="00A07DED"/>
    <w:rsid w:val="00A13437"/>
    <w:rsid w:val="00A63A6F"/>
    <w:rsid w:val="00AA533B"/>
    <w:rsid w:val="00AA5F23"/>
    <w:rsid w:val="00AF3AFF"/>
    <w:rsid w:val="00B04E30"/>
    <w:rsid w:val="00B16B1B"/>
    <w:rsid w:val="00B33ABF"/>
    <w:rsid w:val="00BC1C5A"/>
    <w:rsid w:val="00C03977"/>
    <w:rsid w:val="00CD0894"/>
    <w:rsid w:val="00D02A35"/>
    <w:rsid w:val="00D14819"/>
    <w:rsid w:val="00E12162"/>
    <w:rsid w:val="00E40001"/>
    <w:rsid w:val="00E71297"/>
    <w:rsid w:val="00EA61C4"/>
    <w:rsid w:val="00EF066E"/>
    <w:rsid w:val="00EF58E0"/>
    <w:rsid w:val="00F074E5"/>
    <w:rsid w:val="00F1082A"/>
    <w:rsid w:val="00F160A9"/>
    <w:rsid w:val="00F8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4"/>
    <w:rsid w:val="009E31C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3"/>
    <w:rsid w:val="009E3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F6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6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0D6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D02A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отчет 2015</c:v>
                </c:pt>
                <c:pt idx="1">
                  <c:v>отчет 2016</c:v>
                </c:pt>
                <c:pt idx="2">
                  <c:v>оценка 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2173</c:v>
                </c:pt>
                <c:pt idx="1">
                  <c:v>2191</c:v>
                </c:pt>
                <c:pt idx="2">
                  <c:v>2173</c:v>
                </c:pt>
              </c:numCache>
            </c:numRef>
          </c:val>
        </c:ser>
        <c:shape val="cylinder"/>
        <c:axId val="68476288"/>
        <c:axId val="69190400"/>
        <c:axId val="0"/>
      </c:bar3DChart>
      <c:catAx>
        <c:axId val="68476288"/>
        <c:scaling>
          <c:orientation val="minMax"/>
        </c:scaling>
        <c:axPos val="b"/>
        <c:tickLblPos val="nextTo"/>
        <c:crossAx val="69190400"/>
        <c:crosses val="autoZero"/>
        <c:auto val="1"/>
        <c:lblAlgn val="ctr"/>
        <c:lblOffset val="100"/>
      </c:catAx>
      <c:valAx>
        <c:axId val="69190400"/>
        <c:scaling>
          <c:orientation val="minMax"/>
        </c:scaling>
        <c:axPos val="l"/>
        <c:majorGridlines/>
        <c:numFmt formatCode="General" sourceLinked="1"/>
        <c:tickLblPos val="nextTo"/>
        <c:crossAx val="68476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hPercent val="39"/>
      <c:depthPercent val="100"/>
      <c:rAngAx val="1"/>
    </c:view3D>
    <c:plotArea>
      <c:layout>
        <c:manualLayout>
          <c:layoutTarget val="inner"/>
          <c:xMode val="edge"/>
          <c:yMode val="edge"/>
          <c:x val="5.8027079303675053E-2"/>
          <c:y val="4.1860465116279069E-2"/>
          <c:w val="0.92263056092843332"/>
          <c:h val="0.7860465116279065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gapDepth val="0"/>
        <c:shape val="cylinder"/>
        <c:axId val="74842880"/>
        <c:axId val="95421184"/>
        <c:axId val="0"/>
      </c:bar3DChart>
      <c:catAx>
        <c:axId val="7484288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5421184"/>
        <c:crosses val="autoZero"/>
        <c:auto val="1"/>
        <c:lblAlgn val="ctr"/>
        <c:lblOffset val="100"/>
        <c:tickLblSkip val="1"/>
        <c:tickMarkSkip val="1"/>
      </c:catAx>
      <c:valAx>
        <c:axId val="95421184"/>
        <c:scaling>
          <c:orientation val="minMax"/>
          <c:max val="3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48428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hPercent val="39"/>
      <c:depthPercent val="100"/>
      <c:rAngAx val="1"/>
    </c:view3D>
    <c:plotArea>
      <c:layout>
        <c:manualLayout>
          <c:layoutTarget val="inner"/>
          <c:xMode val="edge"/>
          <c:yMode val="edge"/>
          <c:x val="6.1538461538461584E-2"/>
          <c:y val="4.2253521126760563E-2"/>
          <c:w val="0.91923076923076785"/>
          <c:h val="0.77934272300469565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gapDepth val="0"/>
        <c:shape val="cylinder"/>
        <c:axId val="126993152"/>
        <c:axId val="127398272"/>
        <c:axId val="0"/>
      </c:bar3DChart>
      <c:catAx>
        <c:axId val="1269931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7398272"/>
        <c:crosses val="autoZero"/>
        <c:auto val="1"/>
        <c:lblAlgn val="ctr"/>
        <c:lblOffset val="100"/>
        <c:tickLblSkip val="1"/>
        <c:tickMarkSkip val="1"/>
      </c:catAx>
      <c:valAx>
        <c:axId val="127398272"/>
        <c:scaling>
          <c:orientation val="minMax"/>
          <c:max val="25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9931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700934579439313"/>
          <c:y val="3.2051282051282055E-2"/>
          <c:w val="0.66728971962616923"/>
          <c:h val="0.451923076923076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numFmt formatCode="0%" sourceLinked="0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0.12300000000000007</c:v>
                </c:pt>
                <c:pt idx="1">
                  <c:v>3.1000000000000021E-2</c:v>
                </c:pt>
                <c:pt idx="2">
                  <c:v>4.0000000000000022E-2</c:v>
                </c:pt>
                <c:pt idx="3">
                  <c:v>0.12300000000000007</c:v>
                </c:pt>
                <c:pt idx="4" formatCode="0%">
                  <c:v>4.5999999999999999E-2</c:v>
                </c:pt>
                <c:pt idx="5">
                  <c:v>0.63700000000000057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4112149532710234E-2"/>
          <c:y val="0.45747872572550757"/>
          <c:w val="0.63846754930099059"/>
          <c:h val="0.5425212742744932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view3D>
      <c:rotX val="74"/>
      <c:hPercent val="49"/>
      <c:rotY val="44"/>
      <c:depthPercent val="60"/>
      <c:rAngAx val="1"/>
    </c:view3D>
    <c:plotArea>
      <c:layout>
        <c:manualLayout>
          <c:layoutTarget val="inner"/>
          <c:xMode val="edge"/>
          <c:yMode val="edge"/>
          <c:x val="0.12692307692307669"/>
          <c:y val="3.4220532319391636E-2"/>
          <c:w val="0.85384615384615381"/>
          <c:h val="0.8212927756653996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2640</c:v>
                </c:pt>
                <c:pt idx="1">
                  <c:v>3545</c:v>
                </c:pt>
                <c:pt idx="2">
                  <c:v>3186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Width val="110"/>
        <c:gapDepth val="0"/>
        <c:shape val="cylinder"/>
        <c:axId val="70854528"/>
        <c:axId val="70856064"/>
        <c:axId val="0"/>
      </c:bar3DChart>
      <c:catAx>
        <c:axId val="708545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0856064"/>
        <c:crosses val="autoZero"/>
        <c:auto val="1"/>
        <c:lblAlgn val="ctr"/>
        <c:lblOffset val="100"/>
        <c:tickLblSkip val="1"/>
        <c:tickMarkSkip val="1"/>
      </c:catAx>
      <c:valAx>
        <c:axId val="70856064"/>
        <c:scaling>
          <c:orientation val="minMax"/>
          <c:min val="2000"/>
        </c:scaling>
        <c:axPos val="l"/>
        <c:majorGridlines/>
        <c:numFmt formatCode="#,##0.0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854528"/>
        <c:crosses val="autoZero"/>
        <c:crossBetween val="between"/>
        <c:majorUnit val="200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hPercent val="53"/>
      <c:depthPercent val="220"/>
      <c:rAngAx val="1"/>
    </c:view3D>
    <c:plotArea>
      <c:layout>
        <c:manualLayout>
          <c:layoutTarget val="inner"/>
          <c:xMode val="edge"/>
          <c:yMode val="edge"/>
          <c:x val="0.11583011583011583"/>
          <c:y val="2.8481012658227896E-2"/>
          <c:w val="0.86486486486486491"/>
          <c:h val="0.696202531645569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2015год отчет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18.957000000000001</c:v>
                </c:pt>
                <c:pt idx="1">
                  <c:v>10.458</c:v>
                </c:pt>
                <c:pt idx="2">
                  <c:v>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 отчет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18.87</c:v>
                </c:pt>
                <c:pt idx="1">
                  <c:v>12.029</c:v>
                </c:pt>
                <c:pt idx="2">
                  <c:v>0.33200000000000041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год оценка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Sheet1!$B$4:$D$4</c:f>
              <c:numCache>
                <c:formatCode>0.000</c:formatCode>
                <c:ptCount val="3"/>
                <c:pt idx="0">
                  <c:v>22.556999999999999</c:v>
                </c:pt>
                <c:pt idx="1">
                  <c:v>11.669</c:v>
                </c:pt>
                <c:pt idx="2">
                  <c:v>0.93700000000000061</c:v>
                </c:pt>
              </c:numCache>
            </c:numRef>
          </c:val>
        </c:ser>
        <c:gapWidth val="190"/>
        <c:gapDepth val="0"/>
        <c:shape val="box"/>
        <c:axId val="70926720"/>
        <c:axId val="70928256"/>
        <c:axId val="0"/>
      </c:bar3DChart>
      <c:catAx>
        <c:axId val="709267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0928256"/>
        <c:crosses val="autoZero"/>
        <c:auto val="1"/>
        <c:lblAlgn val="ctr"/>
        <c:lblOffset val="100"/>
        <c:tickLblSkip val="1"/>
        <c:tickMarkSkip val="1"/>
      </c:catAx>
      <c:valAx>
        <c:axId val="70928256"/>
        <c:scaling>
          <c:orientation val="minMax"/>
          <c:max val="23"/>
          <c:min val="0.5"/>
        </c:scaling>
        <c:axPos val="l"/>
        <c:majorGridlines/>
        <c:numFmt formatCode="0.000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92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934362934362917"/>
          <c:y val="0.90822784810126556"/>
          <c:w val="0.74131274131274028"/>
          <c:h val="8.2278481012658181E-2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hPercent val="61"/>
      <c:depthPercent val="100"/>
      <c:rAngAx val="1"/>
    </c:view3D>
    <c:plotArea>
      <c:layout>
        <c:manualLayout>
          <c:layoutTarget val="inner"/>
          <c:xMode val="edge"/>
          <c:yMode val="edge"/>
          <c:x val="5.9961315280464215E-2"/>
          <c:y val="4.0000000000000022E-2"/>
          <c:w val="0.92069632495164344"/>
          <c:h val="0.84000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28.618000000000016</c:v>
                </c:pt>
                <c:pt idx="1">
                  <c:v>29.640999999999988</c:v>
                </c:pt>
                <c:pt idx="2">
                  <c:v>30.094000000000001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30.715</c:v>
                </c:pt>
                <c:pt idx="1">
                  <c:v>32.231000000000002</c:v>
                </c:pt>
                <c:pt idx="2" formatCode="0.000">
                  <c:v>35.133000000000003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Дефицит(-) / Профицит (+)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2015 год отчет</c:v>
                </c:pt>
                <c:pt idx="1">
                  <c:v>2016 год отчет</c:v>
                </c:pt>
                <c:pt idx="2">
                  <c:v>2017 год оценка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2.097</c:v>
                </c:pt>
                <c:pt idx="1">
                  <c:v>2.59</c:v>
                </c:pt>
                <c:pt idx="2">
                  <c:v>5.0389999999999997</c:v>
                </c:pt>
              </c:numCache>
            </c:numRef>
          </c:val>
        </c:ser>
        <c:gapDepth val="0"/>
        <c:shape val="box"/>
        <c:axId val="70867968"/>
        <c:axId val="70947584"/>
        <c:axId val="0"/>
      </c:bar3DChart>
      <c:catAx>
        <c:axId val="7086796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0947584"/>
        <c:crosses val="autoZero"/>
        <c:auto val="1"/>
        <c:lblAlgn val="ctr"/>
        <c:lblOffset val="100"/>
        <c:tickLblSkip val="1"/>
        <c:tickMarkSkip val="1"/>
      </c:catAx>
      <c:valAx>
        <c:axId val="70947584"/>
        <c:scaling>
          <c:orientation val="minMax"/>
          <c:max val="42"/>
          <c:min val="-8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8679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8A61-F746-4C65-8637-40A4BDF1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15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2017-09-11T13:08:00Z</cp:lastPrinted>
  <dcterms:created xsi:type="dcterms:W3CDTF">2017-09-07T07:49:00Z</dcterms:created>
  <dcterms:modified xsi:type="dcterms:W3CDTF">2017-11-16T08:17:00Z</dcterms:modified>
</cp:coreProperties>
</file>