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8CF" w:rsidRPr="000328CF" w:rsidRDefault="000328CF" w:rsidP="000328CF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328CF" w:rsidRPr="00CD003F" w:rsidRDefault="000328CF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CD003F" w:rsidRDefault="00E5315D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3F">
        <w:rPr>
          <w:rFonts w:ascii="Times New Roman" w:hAnsi="Times New Roman" w:cs="Times New Roman"/>
          <w:b/>
          <w:sz w:val="26"/>
          <w:szCs w:val="26"/>
        </w:rPr>
        <w:t>АДМИНИСТРАЦИЯ СЕЛЬСКОГО ПОСЕЛЕНИЯ ХУЛИМСУНТ</w:t>
      </w:r>
    </w:p>
    <w:p w:rsidR="000328CF" w:rsidRPr="00CD003F" w:rsidRDefault="000328CF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CD003F" w:rsidRDefault="00E5315D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3F">
        <w:rPr>
          <w:rFonts w:ascii="Times New Roman" w:hAnsi="Times New Roman" w:cs="Times New Roman"/>
          <w:b/>
          <w:sz w:val="26"/>
          <w:szCs w:val="26"/>
        </w:rPr>
        <w:t>Березовский район</w:t>
      </w:r>
    </w:p>
    <w:p w:rsidR="00E5315D" w:rsidRPr="00CD003F" w:rsidRDefault="00E5315D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3F">
        <w:rPr>
          <w:rFonts w:ascii="Times New Roman" w:hAnsi="Times New Roman" w:cs="Times New Roman"/>
          <w:b/>
          <w:sz w:val="26"/>
          <w:szCs w:val="26"/>
        </w:rPr>
        <w:t>ХАНТЫ-МАНСИЙСКИЙ АВТОНОМНЫЙ ОКРУГ-ЮГРА</w:t>
      </w:r>
    </w:p>
    <w:p w:rsidR="00E5315D" w:rsidRPr="00CD003F" w:rsidRDefault="00E5315D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5315D" w:rsidRPr="00CD003F" w:rsidRDefault="00E5315D" w:rsidP="00CD003F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D003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5315D" w:rsidRPr="00CD003F" w:rsidRDefault="00E5315D" w:rsidP="00CD00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5315D" w:rsidRPr="00CD003F" w:rsidRDefault="00E5315D" w:rsidP="00CD00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 xml:space="preserve">от </w:t>
      </w:r>
      <w:r w:rsidR="00CD003F" w:rsidRPr="00CD003F">
        <w:rPr>
          <w:rFonts w:ascii="Times New Roman" w:hAnsi="Times New Roman" w:cs="Times New Roman"/>
          <w:sz w:val="26"/>
          <w:szCs w:val="26"/>
        </w:rPr>
        <w:t>11</w:t>
      </w:r>
      <w:r w:rsidR="00E8007B" w:rsidRPr="00CD003F">
        <w:rPr>
          <w:rFonts w:ascii="Times New Roman" w:hAnsi="Times New Roman" w:cs="Times New Roman"/>
          <w:sz w:val="26"/>
          <w:szCs w:val="26"/>
        </w:rPr>
        <w:t>.</w:t>
      </w:r>
      <w:r w:rsidR="00CD003F" w:rsidRPr="00CD003F">
        <w:rPr>
          <w:rFonts w:ascii="Times New Roman" w:hAnsi="Times New Roman" w:cs="Times New Roman"/>
          <w:sz w:val="26"/>
          <w:szCs w:val="26"/>
        </w:rPr>
        <w:t>10</w:t>
      </w:r>
      <w:r w:rsidR="00E435B1" w:rsidRPr="00CD003F">
        <w:rPr>
          <w:rFonts w:ascii="Times New Roman" w:hAnsi="Times New Roman" w:cs="Times New Roman"/>
          <w:sz w:val="26"/>
          <w:szCs w:val="26"/>
        </w:rPr>
        <w:t>.2021</w:t>
      </w:r>
      <w:r w:rsidRPr="00CD003F">
        <w:rPr>
          <w:rFonts w:ascii="Times New Roman" w:hAnsi="Times New Roman" w:cs="Times New Roman"/>
          <w:sz w:val="26"/>
          <w:szCs w:val="26"/>
        </w:rPr>
        <w:t xml:space="preserve"> г.                                                                                                          №</w:t>
      </w:r>
      <w:r w:rsidR="00957024"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="00CD003F" w:rsidRPr="00CD003F">
        <w:rPr>
          <w:rFonts w:ascii="Times New Roman" w:hAnsi="Times New Roman" w:cs="Times New Roman"/>
          <w:sz w:val="26"/>
          <w:szCs w:val="26"/>
        </w:rPr>
        <w:t>64</w:t>
      </w:r>
    </w:p>
    <w:p w:rsidR="00E5315D" w:rsidRPr="00CD003F" w:rsidRDefault="00E5315D" w:rsidP="00CD00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>д. Хулимсунт</w:t>
      </w:r>
    </w:p>
    <w:p w:rsidR="00E5315D" w:rsidRPr="00CD003F" w:rsidRDefault="00E5315D" w:rsidP="00CD003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4568"/>
      </w:tblGrid>
      <w:tr w:rsidR="009D12BA" w:rsidRPr="00CD003F" w:rsidTr="00634D0F">
        <w:trPr>
          <w:trHeight w:val="1934"/>
        </w:trPr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9D12BA" w:rsidRPr="00CD003F" w:rsidRDefault="009D12BA" w:rsidP="00CD003F">
            <w:pPr>
              <w:pStyle w:val="a3"/>
              <w:jc w:val="both"/>
              <w:rPr>
                <w:b/>
                <w:sz w:val="26"/>
                <w:szCs w:val="26"/>
              </w:rPr>
            </w:pPr>
            <w:r w:rsidRPr="00CD003F">
              <w:rPr>
                <w:b/>
                <w:sz w:val="26"/>
                <w:szCs w:val="26"/>
              </w:rPr>
              <w:t>Об утверждении муниципальной программы «Формирование современной городской среды муниципального образования сельск</w:t>
            </w:r>
            <w:r w:rsidR="00134518" w:rsidRPr="00CD003F">
              <w:rPr>
                <w:b/>
                <w:sz w:val="26"/>
                <w:szCs w:val="26"/>
              </w:rPr>
              <w:t>ого п</w:t>
            </w:r>
            <w:r w:rsidR="00E435B1" w:rsidRPr="00CD003F">
              <w:rPr>
                <w:b/>
                <w:sz w:val="26"/>
                <w:szCs w:val="26"/>
              </w:rPr>
              <w:t>оселения Хулимсунт</w:t>
            </w:r>
            <w:r w:rsidRPr="00CD003F">
              <w:rPr>
                <w:b/>
                <w:sz w:val="26"/>
                <w:szCs w:val="26"/>
              </w:rPr>
              <w:t>»</w:t>
            </w:r>
          </w:p>
        </w:tc>
      </w:tr>
    </w:tbl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E435B1" w:rsidRPr="00CD003F" w:rsidRDefault="00E435B1" w:rsidP="00CD003F">
      <w:pPr>
        <w:pStyle w:val="ConsPlusNormal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В целях реализации Указа Президента Российской Федерации от 07 мая 2018 года № 204 «О национальных целях и стратегических задачах развития Российской Федерации на период до 2024 года», 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в соответствии с Федеральным законом от 06 октября 2003 года № 131-ФЗ «Об общих принципах организации местного самоуправления в Российской Федерации», постановлением администрации Березовского района, постановлением администрации сельского поселения Хулимсунт от 16.12.2020   года   № 90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Хулимсунт»: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1. Утвердить муниципальную программу «Обеспечение прав и законных интересов населения сельского поселения Хулимсунт в отдельных сферах жизнедеятельности» согласно приложению 1 к настоящему постановлению.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2. Обнародовать настоящее постановление путем размещения в общественно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доступных местах и на официальном веб-сайте сельского поселения Хулимсунт.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3. Настоящее постановление вступает в силу после его официального обнародования.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>4. Контроль над исполнением настоящего постановления оставляю за главой сельского поселения Я.В. Ануфриевым.</w:t>
      </w:r>
    </w:p>
    <w:p w:rsidR="00E435B1" w:rsidRPr="00CD003F" w:rsidRDefault="00E435B1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</w:p>
    <w:p w:rsidR="00FA5F5F" w:rsidRPr="00CD003F" w:rsidRDefault="00D5666C" w:rsidP="00CD003F">
      <w:pPr>
        <w:pStyle w:val="ConsPlusNormal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</w:t>
      </w:r>
      <w:proofErr w:type="spellStart"/>
      <w:r>
        <w:rPr>
          <w:rFonts w:eastAsiaTheme="minorHAnsi"/>
          <w:sz w:val="26"/>
          <w:szCs w:val="26"/>
          <w:lang w:eastAsia="en-US"/>
        </w:rPr>
        <w:t>И.</w:t>
      </w:r>
      <w:proofErr w:type="gramStart"/>
      <w:r>
        <w:rPr>
          <w:rFonts w:eastAsiaTheme="minorHAnsi"/>
          <w:sz w:val="26"/>
          <w:szCs w:val="26"/>
          <w:lang w:eastAsia="en-US"/>
        </w:rPr>
        <w:t>о.г</w:t>
      </w:r>
      <w:r w:rsidR="00FA5F5F" w:rsidRPr="00CD003F">
        <w:rPr>
          <w:rFonts w:eastAsiaTheme="minorHAnsi"/>
          <w:sz w:val="26"/>
          <w:szCs w:val="26"/>
          <w:lang w:eastAsia="en-US"/>
        </w:rPr>
        <w:t>лав</w:t>
      </w:r>
      <w:r>
        <w:rPr>
          <w:rFonts w:eastAsiaTheme="minorHAnsi"/>
          <w:sz w:val="26"/>
          <w:szCs w:val="26"/>
          <w:lang w:eastAsia="en-US"/>
        </w:rPr>
        <w:t>ы</w:t>
      </w:r>
      <w:proofErr w:type="spellEnd"/>
      <w:proofErr w:type="gramEnd"/>
      <w:r w:rsidR="00FA5F5F" w:rsidRPr="00CD003F">
        <w:rPr>
          <w:rFonts w:eastAsiaTheme="minorHAnsi"/>
          <w:sz w:val="26"/>
          <w:szCs w:val="26"/>
          <w:lang w:eastAsia="en-US"/>
        </w:rPr>
        <w:t xml:space="preserve"> сельского</w:t>
      </w:r>
    </w:p>
    <w:p w:rsidR="008E682D" w:rsidRPr="00CD003F" w:rsidRDefault="00FA5F5F" w:rsidP="00CD003F">
      <w:pPr>
        <w:pStyle w:val="ConsPlusNormal"/>
        <w:widowControl/>
        <w:jc w:val="both"/>
        <w:rPr>
          <w:rFonts w:eastAsiaTheme="minorHAnsi"/>
          <w:sz w:val="26"/>
          <w:szCs w:val="26"/>
          <w:lang w:eastAsia="en-US"/>
        </w:rPr>
      </w:pPr>
      <w:r w:rsidRPr="00CD003F">
        <w:rPr>
          <w:rFonts w:eastAsiaTheme="minorHAnsi"/>
          <w:sz w:val="26"/>
          <w:szCs w:val="26"/>
          <w:lang w:eastAsia="en-US"/>
        </w:rPr>
        <w:t xml:space="preserve">поселения Хулимсунт                                                           </w:t>
      </w:r>
      <w:r w:rsidR="00D5666C">
        <w:rPr>
          <w:rFonts w:eastAsiaTheme="minorHAnsi"/>
          <w:sz w:val="26"/>
          <w:szCs w:val="26"/>
          <w:lang w:eastAsia="en-US"/>
        </w:rPr>
        <w:t xml:space="preserve">                      </w:t>
      </w:r>
      <w:r w:rsidRPr="00CD003F">
        <w:rPr>
          <w:rFonts w:eastAsiaTheme="minorHAnsi"/>
          <w:sz w:val="26"/>
          <w:szCs w:val="26"/>
          <w:lang w:eastAsia="en-US"/>
        </w:rPr>
        <w:t xml:space="preserve">         </w:t>
      </w:r>
      <w:r w:rsidR="00D5666C">
        <w:rPr>
          <w:rFonts w:eastAsiaTheme="minorHAnsi"/>
          <w:sz w:val="26"/>
          <w:szCs w:val="26"/>
          <w:lang w:eastAsia="en-US"/>
        </w:rPr>
        <w:t xml:space="preserve">Волкова </w:t>
      </w:r>
      <w:proofErr w:type="gramStart"/>
      <w:r w:rsidR="00D5666C">
        <w:rPr>
          <w:rFonts w:eastAsiaTheme="minorHAnsi"/>
          <w:sz w:val="26"/>
          <w:szCs w:val="26"/>
          <w:lang w:eastAsia="en-US"/>
        </w:rPr>
        <w:t>Т.К</w:t>
      </w:r>
      <w:proofErr w:type="gramEnd"/>
    </w:p>
    <w:p w:rsidR="000C6908" w:rsidRPr="00CD003F" w:rsidRDefault="000C6908" w:rsidP="00CD003F">
      <w:pPr>
        <w:pStyle w:val="ConsPlusNormal"/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widowControl/>
        <w:jc w:val="both"/>
        <w:rPr>
          <w:rFonts w:eastAsiaTheme="minorHAnsi"/>
          <w:sz w:val="26"/>
          <w:szCs w:val="26"/>
          <w:lang w:eastAsia="en-US"/>
        </w:rPr>
      </w:pPr>
    </w:p>
    <w:p w:rsidR="000C6908" w:rsidRPr="00CD003F" w:rsidRDefault="000C6908" w:rsidP="00CD003F">
      <w:pPr>
        <w:pStyle w:val="ConsPlusNormal"/>
        <w:widowControl/>
        <w:jc w:val="right"/>
        <w:rPr>
          <w:sz w:val="26"/>
          <w:szCs w:val="26"/>
        </w:rPr>
      </w:pPr>
    </w:p>
    <w:p w:rsidR="00E5315D" w:rsidRPr="00CD003F" w:rsidRDefault="00E5315D" w:rsidP="00CD003F">
      <w:pPr>
        <w:pStyle w:val="ConsPlusNormal"/>
        <w:widowControl/>
        <w:jc w:val="right"/>
        <w:rPr>
          <w:sz w:val="24"/>
          <w:szCs w:val="24"/>
        </w:rPr>
      </w:pPr>
      <w:r w:rsidRPr="00CD003F">
        <w:rPr>
          <w:sz w:val="24"/>
          <w:szCs w:val="24"/>
        </w:rPr>
        <w:t>Приложение 1</w:t>
      </w:r>
    </w:p>
    <w:p w:rsidR="00E5315D" w:rsidRPr="00CD003F" w:rsidRDefault="00E5315D" w:rsidP="00CD003F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CD003F">
        <w:rPr>
          <w:sz w:val="24"/>
          <w:szCs w:val="24"/>
        </w:rPr>
        <w:t>к постановлению администрации</w:t>
      </w:r>
    </w:p>
    <w:p w:rsidR="00E5315D" w:rsidRPr="00CD003F" w:rsidRDefault="00E5315D" w:rsidP="00CD003F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CD003F">
        <w:rPr>
          <w:sz w:val="24"/>
          <w:szCs w:val="24"/>
        </w:rPr>
        <w:t>сельского поселения Хулимсунт</w:t>
      </w:r>
    </w:p>
    <w:p w:rsidR="00E5315D" w:rsidRPr="00CD003F" w:rsidRDefault="00E5315D" w:rsidP="00CD003F">
      <w:pPr>
        <w:pStyle w:val="ConsPlusNormal"/>
        <w:widowControl/>
        <w:ind w:firstLine="540"/>
        <w:jc w:val="right"/>
        <w:rPr>
          <w:sz w:val="24"/>
          <w:szCs w:val="24"/>
        </w:rPr>
      </w:pPr>
      <w:r w:rsidRPr="00CD003F">
        <w:rPr>
          <w:sz w:val="24"/>
          <w:szCs w:val="24"/>
        </w:rPr>
        <w:t xml:space="preserve">от </w:t>
      </w:r>
      <w:r w:rsidR="00CD003F" w:rsidRPr="00CD003F">
        <w:rPr>
          <w:sz w:val="24"/>
          <w:szCs w:val="24"/>
        </w:rPr>
        <w:t>11</w:t>
      </w:r>
      <w:r w:rsidR="00E8007B" w:rsidRPr="00CD003F">
        <w:rPr>
          <w:sz w:val="24"/>
          <w:szCs w:val="24"/>
        </w:rPr>
        <w:t>.</w:t>
      </w:r>
      <w:r w:rsidR="00CD003F" w:rsidRPr="00CD003F">
        <w:rPr>
          <w:sz w:val="24"/>
          <w:szCs w:val="24"/>
        </w:rPr>
        <w:t>10</w:t>
      </w:r>
      <w:r w:rsidR="00E435B1" w:rsidRPr="00CD003F">
        <w:rPr>
          <w:sz w:val="24"/>
          <w:szCs w:val="24"/>
        </w:rPr>
        <w:t>.2021</w:t>
      </w:r>
      <w:r w:rsidRPr="00CD003F">
        <w:rPr>
          <w:sz w:val="24"/>
          <w:szCs w:val="24"/>
        </w:rPr>
        <w:t xml:space="preserve"> г. №</w:t>
      </w:r>
      <w:r w:rsidR="00957024" w:rsidRPr="00CD003F">
        <w:rPr>
          <w:sz w:val="24"/>
          <w:szCs w:val="24"/>
        </w:rPr>
        <w:t xml:space="preserve"> </w:t>
      </w:r>
      <w:r w:rsidR="00CD003F" w:rsidRPr="00CD003F">
        <w:rPr>
          <w:sz w:val="24"/>
          <w:szCs w:val="24"/>
        </w:rPr>
        <w:t>64</w:t>
      </w:r>
    </w:p>
    <w:p w:rsidR="00E5315D" w:rsidRPr="00CD003F" w:rsidRDefault="00E5315D" w:rsidP="00CD00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315D" w:rsidRPr="00CD003F" w:rsidRDefault="00E5315D" w:rsidP="00CD003F">
      <w:pPr>
        <w:pStyle w:val="ConsPlusTitle"/>
        <w:jc w:val="center"/>
      </w:pPr>
    </w:p>
    <w:p w:rsidR="00E435B1" w:rsidRPr="00CD003F" w:rsidRDefault="00E435B1" w:rsidP="00CD003F">
      <w:pPr>
        <w:pStyle w:val="ConsPlusTitle"/>
        <w:widowControl/>
        <w:jc w:val="center"/>
        <w:rPr>
          <w:b w:val="0"/>
          <w:sz w:val="26"/>
          <w:szCs w:val="26"/>
        </w:rPr>
      </w:pPr>
      <w:r w:rsidRPr="00CD003F">
        <w:rPr>
          <w:sz w:val="26"/>
          <w:szCs w:val="26"/>
        </w:rPr>
        <w:t>Муниципальная программа</w:t>
      </w:r>
    </w:p>
    <w:p w:rsidR="00134518" w:rsidRPr="00CD003F" w:rsidRDefault="00134518" w:rsidP="00CD003F">
      <w:pPr>
        <w:pStyle w:val="ConsPlusTitle"/>
        <w:widowControl/>
        <w:jc w:val="center"/>
        <w:rPr>
          <w:sz w:val="26"/>
          <w:szCs w:val="26"/>
        </w:rPr>
      </w:pPr>
      <w:r w:rsidRPr="00CD003F">
        <w:rPr>
          <w:sz w:val="26"/>
          <w:szCs w:val="26"/>
        </w:rPr>
        <w:t xml:space="preserve">«ФОРМИРОВАНИЕ СОВРЕМЕННОЙ ГОРОДСКОЙ СРЕДЫ МУНИЦИПАЛЬНОГО ОБРАЗОВАНИЯ  </w:t>
      </w:r>
      <w:r w:rsidR="00FE6E5A" w:rsidRPr="00CD003F">
        <w:rPr>
          <w:sz w:val="26"/>
          <w:szCs w:val="26"/>
        </w:rPr>
        <w:t xml:space="preserve"> </w:t>
      </w:r>
      <w:r w:rsidRPr="00CD003F">
        <w:rPr>
          <w:sz w:val="26"/>
          <w:szCs w:val="26"/>
        </w:rPr>
        <w:t>СЕЛЬСКОГО ПОСЕЛ</w:t>
      </w:r>
      <w:r w:rsidR="00E435B1" w:rsidRPr="00CD003F">
        <w:rPr>
          <w:sz w:val="26"/>
          <w:szCs w:val="26"/>
        </w:rPr>
        <w:t>ЕНИЯ ХУЛИМСУНТ</w:t>
      </w:r>
      <w:r w:rsidRPr="00CD003F">
        <w:rPr>
          <w:sz w:val="26"/>
          <w:szCs w:val="26"/>
        </w:rPr>
        <w:t>»</w:t>
      </w:r>
    </w:p>
    <w:p w:rsidR="00E435B1" w:rsidRPr="00CD003F" w:rsidRDefault="00E435B1" w:rsidP="00CD003F">
      <w:pPr>
        <w:pStyle w:val="ConsPlusTitle"/>
        <w:jc w:val="center"/>
        <w:rPr>
          <w:sz w:val="26"/>
          <w:szCs w:val="26"/>
        </w:rPr>
      </w:pPr>
      <w:r w:rsidRPr="00CD003F">
        <w:rPr>
          <w:sz w:val="26"/>
          <w:szCs w:val="26"/>
        </w:rPr>
        <w:t>(далее-муниципальная программа)</w:t>
      </w:r>
    </w:p>
    <w:p w:rsidR="00E435B1" w:rsidRPr="00CD003F" w:rsidRDefault="00E435B1" w:rsidP="00CD003F">
      <w:pPr>
        <w:pStyle w:val="ConsPlusTitle"/>
        <w:jc w:val="center"/>
        <w:rPr>
          <w:sz w:val="26"/>
          <w:szCs w:val="26"/>
        </w:rPr>
      </w:pPr>
    </w:p>
    <w:p w:rsidR="00E435B1" w:rsidRPr="00CD003F" w:rsidRDefault="00E435B1" w:rsidP="00CD003F">
      <w:pPr>
        <w:pStyle w:val="ConsPlusTitle"/>
        <w:jc w:val="center"/>
        <w:rPr>
          <w:b w:val="0"/>
          <w:sz w:val="26"/>
          <w:szCs w:val="26"/>
        </w:rPr>
      </w:pPr>
      <w:r w:rsidRPr="00CD003F">
        <w:rPr>
          <w:b w:val="0"/>
          <w:sz w:val="26"/>
          <w:szCs w:val="26"/>
        </w:rPr>
        <w:t>ПАСПОРТ МУНИЦИПАЛЬНОЙ ПРОГРАММЫ</w:t>
      </w:r>
    </w:p>
    <w:p w:rsidR="00134518" w:rsidRPr="00CD003F" w:rsidRDefault="00134518" w:rsidP="00CD003F">
      <w:pPr>
        <w:pStyle w:val="ConsPlusTitle"/>
        <w:jc w:val="both"/>
        <w:rPr>
          <w:sz w:val="26"/>
          <w:szCs w:val="26"/>
        </w:rPr>
      </w:pPr>
    </w:p>
    <w:tbl>
      <w:tblPr>
        <w:tblW w:w="9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6110"/>
      </w:tblGrid>
      <w:tr w:rsidR="00134518" w:rsidRPr="00CD003F" w:rsidTr="00634D0F">
        <w:trPr>
          <w:trHeight w:val="788"/>
        </w:trPr>
        <w:tc>
          <w:tcPr>
            <w:tcW w:w="3652" w:type="dxa"/>
          </w:tcPr>
          <w:p w:rsidR="00134518" w:rsidRPr="00CD003F" w:rsidRDefault="00134518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110" w:type="dxa"/>
          </w:tcPr>
          <w:p w:rsidR="00134518" w:rsidRPr="00CD003F" w:rsidRDefault="00134518" w:rsidP="00CD003F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CD003F">
              <w:rPr>
                <w:b w:val="0"/>
                <w:sz w:val="26"/>
                <w:szCs w:val="26"/>
              </w:rPr>
              <w:t>«Формирование современной городской среды муниципального образовани</w:t>
            </w:r>
            <w:r w:rsidR="00634D0F" w:rsidRPr="00CD003F">
              <w:rPr>
                <w:b w:val="0"/>
                <w:sz w:val="26"/>
                <w:szCs w:val="26"/>
              </w:rPr>
              <w:t>я сельского поселения Хулимсунт</w:t>
            </w:r>
            <w:r w:rsidRPr="00CD003F">
              <w:rPr>
                <w:b w:val="0"/>
                <w:sz w:val="26"/>
                <w:szCs w:val="26"/>
              </w:rPr>
              <w:t>»</w:t>
            </w:r>
          </w:p>
        </w:tc>
      </w:tr>
      <w:tr w:rsidR="00134518" w:rsidRPr="00CD003F" w:rsidTr="00634D0F">
        <w:trPr>
          <w:trHeight w:val="2093"/>
        </w:trPr>
        <w:tc>
          <w:tcPr>
            <w:tcW w:w="3652" w:type="dxa"/>
          </w:tcPr>
          <w:p w:rsidR="00134518" w:rsidRPr="00CD003F" w:rsidRDefault="00634D0F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6110" w:type="dxa"/>
          </w:tcPr>
          <w:p w:rsidR="00134518" w:rsidRPr="00CD003F" w:rsidRDefault="00634D0F" w:rsidP="00CD003F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CD003F" w:rsidRPr="00CD003F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E8007B" w:rsidRPr="00CD0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D003F" w:rsidRPr="00CD003F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.2021 №</w:t>
            </w:r>
            <w:r w:rsidR="00CD003F" w:rsidRPr="00CD003F">
              <w:rPr>
                <w:rFonts w:ascii="Times New Roman" w:hAnsi="Times New Roman" w:cs="Times New Roman"/>
                <w:sz w:val="26"/>
                <w:szCs w:val="26"/>
              </w:rPr>
              <w:t>64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О муниципальной программе </w:t>
            </w:r>
            <w:r w:rsidR="00BD287B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«Формирование современной городской среды муниципального образования сельского поселения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Хулимсунт</w:t>
            </w:r>
            <w:r w:rsidR="00BD287B" w:rsidRPr="00CD003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и признании утратившими силу некоторых муниципальных правовых актов администрации сельского поселения Хулимсунт</w:t>
            </w:r>
            <w:proofErr w:type="gram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 w:rsidR="00BD287B" w:rsidRPr="00CD0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134518" w:rsidRPr="00CD003F" w:rsidTr="00634D0F">
        <w:trPr>
          <w:trHeight w:val="530"/>
        </w:trPr>
        <w:tc>
          <w:tcPr>
            <w:tcW w:w="3652" w:type="dxa"/>
          </w:tcPr>
          <w:p w:rsidR="00134518" w:rsidRPr="00CD003F" w:rsidRDefault="00134518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110" w:type="dxa"/>
          </w:tcPr>
          <w:p w:rsidR="00134518" w:rsidRPr="00CD003F" w:rsidRDefault="00134518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134518" w:rsidRPr="00CD003F" w:rsidTr="00634D0F">
        <w:trPr>
          <w:trHeight w:val="516"/>
        </w:trPr>
        <w:tc>
          <w:tcPr>
            <w:tcW w:w="3652" w:type="dxa"/>
          </w:tcPr>
          <w:p w:rsidR="00134518" w:rsidRPr="00CD003F" w:rsidRDefault="00134518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6110" w:type="dxa"/>
          </w:tcPr>
          <w:p w:rsidR="00134518" w:rsidRPr="00CD003F" w:rsidRDefault="00634D0F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Муниципальное казенное учреждение «</w:t>
            </w:r>
            <w:proofErr w:type="spell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proofErr w:type="spellEnd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онно</w:t>
            </w:r>
            <w:proofErr w:type="spellEnd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-хозяйственная служба»</w:t>
            </w:r>
          </w:p>
        </w:tc>
      </w:tr>
      <w:tr w:rsidR="0098705D" w:rsidRPr="00CD003F" w:rsidTr="00E8007B">
        <w:trPr>
          <w:trHeight w:val="736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Цели  муниципальной</w:t>
            </w:r>
            <w:proofErr w:type="gramEnd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110" w:type="dxa"/>
          </w:tcPr>
          <w:p w:rsidR="0098705D" w:rsidRPr="00CD003F" w:rsidRDefault="0098705D" w:rsidP="00CD003F">
            <w:pPr>
              <w:tabs>
                <w:tab w:val="left" w:pos="524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Создание комфортной сельской среды на территории сельского поселения Хулимсунт</w:t>
            </w:r>
          </w:p>
        </w:tc>
      </w:tr>
      <w:tr w:rsidR="0098705D" w:rsidRPr="00CD003F" w:rsidTr="00634D0F">
        <w:trPr>
          <w:trHeight w:val="287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Задача муниципальной программы</w:t>
            </w:r>
          </w:p>
        </w:tc>
        <w:tc>
          <w:tcPr>
            <w:tcW w:w="6110" w:type="dxa"/>
          </w:tcPr>
          <w:p w:rsidR="0098705D" w:rsidRPr="00CD003F" w:rsidRDefault="0098705D" w:rsidP="00CD003F">
            <w:pPr>
              <w:spacing w:after="0"/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Модернизация придомовых</w:t>
            </w:r>
            <w:r w:rsidR="00DA0B29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детских площадок</w:t>
            </w:r>
            <w:r w:rsidR="000836CE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сельского поселения Хулимсунт</w:t>
            </w:r>
          </w:p>
        </w:tc>
      </w:tr>
      <w:tr w:rsidR="0098705D" w:rsidRPr="00CD003F" w:rsidTr="00634D0F">
        <w:trPr>
          <w:trHeight w:val="530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proofErr w:type="gram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реализации  муниципальной</w:t>
            </w:r>
            <w:proofErr w:type="gramEnd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6110" w:type="dxa"/>
          </w:tcPr>
          <w:p w:rsidR="0098705D" w:rsidRPr="00CD003F" w:rsidRDefault="00634D0F" w:rsidP="00CD003F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2021 – 2025 годы и на период до 2030 года.</w:t>
            </w:r>
          </w:p>
        </w:tc>
      </w:tr>
      <w:tr w:rsidR="0098705D" w:rsidRPr="00CD003F" w:rsidTr="00634D0F">
        <w:trPr>
          <w:trHeight w:val="258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Перечень подпрограмм</w:t>
            </w:r>
          </w:p>
        </w:tc>
        <w:tc>
          <w:tcPr>
            <w:tcW w:w="6110" w:type="dxa"/>
            <w:vAlign w:val="center"/>
          </w:tcPr>
          <w:p w:rsidR="0098705D" w:rsidRPr="00CD003F" w:rsidRDefault="0098705D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98705D" w:rsidRPr="00CD003F" w:rsidTr="00634D0F">
        <w:trPr>
          <w:trHeight w:val="599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110" w:type="dxa"/>
          </w:tcPr>
          <w:p w:rsidR="0098705D" w:rsidRPr="00CD003F" w:rsidRDefault="0098705D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 xml:space="preserve">Общий объем финансирования </w:t>
            </w:r>
            <w:r w:rsidR="00E60AC7" w:rsidRPr="00CD003F">
              <w:t xml:space="preserve">муниципальной программы на 2021-2025 годы и на период 2026-2030 годов составит </w:t>
            </w:r>
            <w:r w:rsidR="00E60AC7" w:rsidRPr="00CD003F">
              <w:rPr>
                <w:b/>
              </w:rPr>
              <w:t>0</w:t>
            </w:r>
            <w:r w:rsidRPr="00CD003F">
              <w:rPr>
                <w:b/>
              </w:rPr>
              <w:t>,0</w:t>
            </w:r>
            <w:r w:rsidRPr="00CD003F">
              <w:t xml:space="preserve"> тыс. рублей, из них:</w:t>
            </w:r>
          </w:p>
          <w:p w:rsidR="0098705D" w:rsidRPr="00CD003F" w:rsidRDefault="0098705D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21 год –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0,0 тыс. рублей;</w:t>
            </w:r>
          </w:p>
          <w:p w:rsidR="0098705D" w:rsidRPr="00CD003F" w:rsidRDefault="0098705D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год – 0,0тыс. рублей;</w:t>
            </w:r>
          </w:p>
          <w:p w:rsidR="0098705D" w:rsidRPr="00CD003F" w:rsidRDefault="0098705D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EC177C" w:rsidRPr="00CD003F">
              <w:rPr>
                <w:rFonts w:ascii="Times New Roman" w:hAnsi="Times New Roman" w:cs="Times New Roman"/>
                <w:sz w:val="26"/>
                <w:szCs w:val="26"/>
              </w:rPr>
              <w:t>2978,0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98705D" w:rsidRPr="00CD003F" w:rsidRDefault="0098705D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год – 0,0 тыс. рублей;</w:t>
            </w:r>
          </w:p>
          <w:p w:rsidR="0098705D" w:rsidRPr="00CD003F" w:rsidRDefault="0098705D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5 год – 0,0 тыс. рублей;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2026-2030 год – 0,0 тыс. рублей.;</w:t>
            </w:r>
          </w:p>
          <w:p w:rsidR="0098705D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 них объем финансирования Программы</w:t>
            </w:r>
            <w:r w:rsidR="003B7307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из бюджета сельского поселения на 2021-2025 годы и на период 2026-2030 годов составит </w:t>
            </w:r>
            <w:r w:rsidR="00CF1DC9" w:rsidRPr="00CD003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270,7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тыс. р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ублей, в том числе: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2022 год – 0,0тыс. рублей;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F1DC9" w:rsidRPr="00CD003F">
              <w:rPr>
                <w:rFonts w:ascii="Times New Roman" w:hAnsi="Times New Roman" w:cs="Times New Roman"/>
                <w:sz w:val="26"/>
                <w:szCs w:val="26"/>
              </w:rPr>
              <w:t>270,7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2024 год – 0,0 тыс. рублей;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E60AC7" w:rsidRPr="00CD003F" w:rsidRDefault="00E60AC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2026-2030 год – 0,0 тыс. рублей.;</w:t>
            </w:r>
          </w:p>
          <w:p w:rsidR="0098705D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Программы </w:t>
            </w:r>
            <w:r w:rsidR="0098705D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из 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>бюджета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автономного округа</w:t>
            </w:r>
            <w:r w:rsidR="0098705D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на </w:t>
            </w:r>
            <w:r w:rsidR="00E60AC7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2021-2025 годы и на период 2026-2030 годов </w:t>
            </w:r>
            <w:r w:rsidR="00CF1DC9" w:rsidRPr="00CD003F">
              <w:rPr>
                <w:rFonts w:ascii="Times New Roman" w:hAnsi="Times New Roman" w:cs="Times New Roman"/>
                <w:b/>
                <w:sz w:val="26"/>
                <w:szCs w:val="26"/>
              </w:rPr>
              <w:t>1153,0</w:t>
            </w:r>
            <w:r w:rsidR="0098705D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числе: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2021 год – 0,0 тыс. рублей;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2022 год – 0,0тыс. рублей;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 w:rsidR="00CF1DC9" w:rsidRPr="00CD003F">
              <w:rPr>
                <w:rFonts w:ascii="Times New Roman" w:hAnsi="Times New Roman" w:cs="Times New Roman"/>
                <w:sz w:val="26"/>
                <w:szCs w:val="26"/>
              </w:rPr>
              <w:t>1153,0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2024 год – 0,0 тыс. рублей;</w:t>
            </w:r>
          </w:p>
          <w:p w:rsidR="007D5F07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2025 год – 0,0 тыс. рублей;</w:t>
            </w:r>
          </w:p>
          <w:p w:rsidR="0098705D" w:rsidRPr="00CD003F" w:rsidRDefault="007D5F07" w:rsidP="00CD003F">
            <w:pPr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2026-2030 год – 0,0 тыс. </w:t>
            </w:r>
            <w:proofErr w:type="gramStart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  <w:r w:rsidR="0098705D" w:rsidRPr="00CD003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</w:tr>
      <w:tr w:rsidR="00CF1DC9" w:rsidRPr="00CD003F" w:rsidTr="00CF1DC9">
        <w:trPr>
          <w:trHeight w:val="2500"/>
        </w:trPr>
        <w:tc>
          <w:tcPr>
            <w:tcW w:w="3652" w:type="dxa"/>
          </w:tcPr>
          <w:p w:rsidR="00CF1DC9" w:rsidRPr="00CD003F" w:rsidRDefault="00CF1DC9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110" w:type="dxa"/>
          </w:tcPr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 xml:space="preserve">Из них </w:t>
            </w:r>
            <w:proofErr w:type="spellStart"/>
            <w:r w:rsidRPr="00CD003F">
              <w:t>обьем</w:t>
            </w:r>
            <w:proofErr w:type="spellEnd"/>
            <w:r w:rsidRPr="00CD003F">
              <w:t xml:space="preserve"> финансирования Программы из бюджета федерального округа на 2021-2025 годы и на период 2026-2030 годов </w:t>
            </w:r>
            <w:r w:rsidRPr="00CD003F">
              <w:rPr>
                <w:b/>
              </w:rPr>
              <w:t xml:space="preserve">1554,3 </w:t>
            </w:r>
            <w:proofErr w:type="spellStart"/>
            <w:proofErr w:type="gramStart"/>
            <w:r w:rsidRPr="00CD003F">
              <w:t>рублей,в</w:t>
            </w:r>
            <w:proofErr w:type="spellEnd"/>
            <w:proofErr w:type="gramEnd"/>
            <w:r w:rsidRPr="00CD003F">
              <w:t xml:space="preserve"> том числе: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>2021 год – 0,0 тыс. рублей;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>2022 год – 0,0 тыс. рублей;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>2023 год – 1554,3 тыс. рублей;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>2024 год – 0,0 тыс. рублей;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>2025 год – 0,0 тыс. рублей;</w:t>
            </w:r>
          </w:p>
          <w:p w:rsidR="00CF1DC9" w:rsidRPr="00CD003F" w:rsidRDefault="00CF1DC9" w:rsidP="00CD003F">
            <w:pPr>
              <w:pStyle w:val="ConsPlusCell"/>
              <w:tabs>
                <w:tab w:val="left" w:pos="473"/>
              </w:tabs>
              <w:contextualSpacing/>
              <w:jc w:val="both"/>
            </w:pPr>
            <w:r w:rsidRPr="00CD003F">
              <w:t xml:space="preserve">2026-2030 – 0,0 </w:t>
            </w:r>
            <w:proofErr w:type="spellStart"/>
            <w:proofErr w:type="gramStart"/>
            <w:r w:rsidRPr="00CD003F">
              <w:t>тыс.рублей</w:t>
            </w:r>
            <w:proofErr w:type="spellEnd"/>
            <w:proofErr w:type="gramEnd"/>
            <w:r w:rsidRPr="00CD003F">
              <w:t>.</w:t>
            </w:r>
          </w:p>
        </w:tc>
      </w:tr>
      <w:tr w:rsidR="0098705D" w:rsidRPr="00CD003F" w:rsidTr="00634D0F">
        <w:trPr>
          <w:trHeight w:val="481"/>
        </w:trPr>
        <w:tc>
          <w:tcPr>
            <w:tcW w:w="3652" w:type="dxa"/>
          </w:tcPr>
          <w:p w:rsidR="0098705D" w:rsidRPr="00CD003F" w:rsidRDefault="0098705D" w:rsidP="00CD003F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(показатели социально-экономической эффективности)</w:t>
            </w:r>
          </w:p>
        </w:tc>
        <w:tc>
          <w:tcPr>
            <w:tcW w:w="6110" w:type="dxa"/>
            <w:vAlign w:val="center"/>
          </w:tcPr>
          <w:p w:rsidR="00A53377" w:rsidRPr="00CD003F" w:rsidRDefault="00A53377" w:rsidP="00CD003F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CD0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Количество общественных территорий, подлежащих </w:t>
            </w:r>
            <w:proofErr w:type="gramStart"/>
            <w:r w:rsidRPr="00CD003F">
              <w:rPr>
                <w:rFonts w:ascii="Times New Roman" w:eastAsia="Calibri" w:hAnsi="Times New Roman" w:cs="Times New Roman"/>
                <w:sz w:val="26"/>
                <w:szCs w:val="26"/>
              </w:rPr>
              <w:t>благоустройству  до</w:t>
            </w:r>
            <w:proofErr w:type="gramEnd"/>
            <w:r w:rsidRPr="00CD0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2 единиц;</w:t>
            </w:r>
          </w:p>
          <w:p w:rsidR="0098705D" w:rsidRPr="00CD003F" w:rsidRDefault="00BB2E4C" w:rsidP="00CD003F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gramStart"/>
            <w:r w:rsidRPr="00CD0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Увеличение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модернизированных</w:t>
            </w:r>
            <w:proofErr w:type="gramEnd"/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A0B29"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придомовых детских </w:t>
            </w:r>
            <w:r w:rsidRPr="00CD003F">
              <w:rPr>
                <w:rFonts w:ascii="Times New Roman" w:hAnsi="Times New Roman" w:cs="Times New Roman"/>
                <w:sz w:val="26"/>
                <w:szCs w:val="26"/>
              </w:rPr>
              <w:t xml:space="preserve">площадок </w:t>
            </w:r>
            <w:r w:rsidRPr="00CD003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 1 ед.;</w:t>
            </w:r>
          </w:p>
        </w:tc>
      </w:tr>
    </w:tbl>
    <w:p w:rsidR="00CA4C9B" w:rsidRPr="00CD003F" w:rsidRDefault="00CA4C9B" w:rsidP="00CD003F">
      <w:pPr>
        <w:pStyle w:val="ConsPlusNormal"/>
        <w:jc w:val="both"/>
        <w:outlineLvl w:val="1"/>
        <w:rPr>
          <w:b/>
          <w:sz w:val="26"/>
          <w:szCs w:val="26"/>
        </w:rPr>
      </w:pPr>
    </w:p>
    <w:p w:rsidR="00D36890" w:rsidRPr="00CD003F" w:rsidRDefault="00D36890" w:rsidP="00CD003F">
      <w:pPr>
        <w:pStyle w:val="ConsPlusNormal"/>
        <w:jc w:val="both"/>
        <w:outlineLvl w:val="1"/>
        <w:rPr>
          <w:b/>
          <w:sz w:val="26"/>
          <w:szCs w:val="26"/>
        </w:rPr>
      </w:pPr>
    </w:p>
    <w:p w:rsidR="008E32FC" w:rsidRPr="00CD003F" w:rsidRDefault="008E32FC" w:rsidP="00CD003F">
      <w:pPr>
        <w:pStyle w:val="ConsPlusNormal"/>
        <w:jc w:val="both"/>
        <w:outlineLvl w:val="1"/>
        <w:rPr>
          <w:b/>
          <w:sz w:val="26"/>
          <w:szCs w:val="26"/>
        </w:rPr>
      </w:pPr>
      <w:r w:rsidRPr="00CD003F">
        <w:rPr>
          <w:b/>
          <w:sz w:val="26"/>
          <w:szCs w:val="26"/>
        </w:rPr>
        <w:t xml:space="preserve">1. </w:t>
      </w:r>
      <w:r w:rsidR="0021003E" w:rsidRPr="00CD003F">
        <w:rPr>
          <w:b/>
          <w:sz w:val="26"/>
          <w:szCs w:val="26"/>
        </w:rPr>
        <w:t>Характеристика текущего состояния сферы благоустройства</w:t>
      </w:r>
    </w:p>
    <w:p w:rsidR="009C5A32" w:rsidRPr="00CD003F" w:rsidRDefault="009C5A32" w:rsidP="00CD003F">
      <w:pPr>
        <w:pStyle w:val="ConsPlusNormal"/>
        <w:jc w:val="both"/>
        <w:outlineLvl w:val="1"/>
        <w:rPr>
          <w:b/>
          <w:sz w:val="26"/>
          <w:szCs w:val="26"/>
        </w:rPr>
      </w:pPr>
    </w:p>
    <w:p w:rsidR="00896921" w:rsidRPr="00CD003F" w:rsidRDefault="00BD2575" w:rsidP="00CD003F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D003F">
        <w:rPr>
          <w:rFonts w:ascii="Times New Roman" w:eastAsia="Calibri" w:hAnsi="Times New Roman" w:cs="Times New Roman"/>
          <w:sz w:val="26"/>
          <w:szCs w:val="26"/>
        </w:rPr>
        <w:t xml:space="preserve">Муниципальное образование сельское поселение </w:t>
      </w:r>
      <w:r w:rsidR="00896921" w:rsidRPr="00CD003F">
        <w:rPr>
          <w:rFonts w:ascii="Times New Roman" w:eastAsia="Calibri" w:hAnsi="Times New Roman" w:cs="Times New Roman"/>
          <w:sz w:val="26"/>
          <w:szCs w:val="26"/>
        </w:rPr>
        <w:t>Хулимсунт</w:t>
      </w:r>
      <w:r w:rsidRPr="00CD003F">
        <w:rPr>
          <w:rFonts w:ascii="Times New Roman" w:eastAsia="Calibri" w:hAnsi="Times New Roman" w:cs="Times New Roman"/>
          <w:sz w:val="26"/>
          <w:szCs w:val="26"/>
        </w:rPr>
        <w:t xml:space="preserve"> расположено в северной части Ханты-Мансийского автономного округа – Югра.</w:t>
      </w:r>
      <w:r w:rsidR="00896921" w:rsidRPr="00CD003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CD003F">
        <w:rPr>
          <w:rFonts w:ascii="Times New Roman" w:hAnsi="Times New Roman" w:cs="Times New Roman"/>
          <w:sz w:val="26"/>
          <w:szCs w:val="26"/>
        </w:rPr>
        <w:t>Численность постоянного населения</w:t>
      </w:r>
      <w:r w:rsidRPr="00CD003F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 на 01.</w:t>
      </w:r>
      <w:r w:rsidR="00A53377" w:rsidRPr="00CD003F">
        <w:rPr>
          <w:rFonts w:ascii="Times New Roman" w:hAnsi="Times New Roman" w:cs="Times New Roman"/>
          <w:sz w:val="26"/>
          <w:szCs w:val="26"/>
        </w:rPr>
        <w:t>01</w:t>
      </w:r>
      <w:r w:rsidR="00896921" w:rsidRPr="00CD003F">
        <w:rPr>
          <w:rFonts w:ascii="Times New Roman" w:hAnsi="Times New Roman" w:cs="Times New Roman"/>
          <w:sz w:val="26"/>
          <w:szCs w:val="26"/>
        </w:rPr>
        <w:t>.20</w:t>
      </w:r>
      <w:r w:rsidR="00A53377" w:rsidRPr="00CD003F">
        <w:rPr>
          <w:rFonts w:ascii="Times New Roman" w:hAnsi="Times New Roman" w:cs="Times New Roman"/>
          <w:sz w:val="26"/>
          <w:szCs w:val="26"/>
        </w:rPr>
        <w:t>21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FE6E5A"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="00FA5F5F" w:rsidRPr="00CD003F">
        <w:rPr>
          <w:rFonts w:ascii="Times New Roman" w:hAnsi="Times New Roman" w:cs="Times New Roman"/>
          <w:sz w:val="26"/>
          <w:szCs w:val="26"/>
        </w:rPr>
        <w:t>1859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Pr="00CD003F">
        <w:rPr>
          <w:rFonts w:ascii="Times New Roman" w:hAnsi="Times New Roman" w:cs="Times New Roman"/>
          <w:sz w:val="26"/>
          <w:szCs w:val="26"/>
        </w:rPr>
        <w:t>человек.</w:t>
      </w:r>
    </w:p>
    <w:p w:rsidR="00896921" w:rsidRPr="00CD003F" w:rsidRDefault="00BD2575" w:rsidP="00CD0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 xml:space="preserve">В настоящее время муниципальное образование </w:t>
      </w:r>
      <w:r w:rsidR="00896921" w:rsidRPr="00CD003F">
        <w:rPr>
          <w:rFonts w:ascii="Times New Roman" w:hAnsi="Times New Roman" w:cs="Times New Roman"/>
          <w:sz w:val="26"/>
          <w:szCs w:val="26"/>
        </w:rPr>
        <w:t>сельское поселение Хулимсунт</w:t>
      </w:r>
      <w:r w:rsidRPr="00CD003F">
        <w:rPr>
          <w:rFonts w:ascii="Times New Roman" w:hAnsi="Times New Roman" w:cs="Times New Roman"/>
          <w:sz w:val="26"/>
          <w:szCs w:val="26"/>
        </w:rPr>
        <w:t xml:space="preserve"> – современный, культурный, образовательный центр, сохранивший свою самобытность, </w:t>
      </w:r>
      <w:r w:rsidRPr="00CD003F">
        <w:rPr>
          <w:rFonts w:ascii="Times New Roman" w:hAnsi="Times New Roman" w:cs="Times New Roman"/>
          <w:sz w:val="26"/>
          <w:szCs w:val="26"/>
        </w:rPr>
        <w:lastRenderedPageBreak/>
        <w:t xml:space="preserve">уникальную историческую планировку и связь с окружающим природным ландшафтом.  И задача администрации поселения состоит не только </w:t>
      </w:r>
      <w:r w:rsidR="00896921" w:rsidRPr="00CD003F">
        <w:rPr>
          <w:rFonts w:ascii="Times New Roman" w:hAnsi="Times New Roman" w:cs="Times New Roman"/>
          <w:sz w:val="26"/>
          <w:szCs w:val="26"/>
        </w:rPr>
        <w:t xml:space="preserve">в том, </w:t>
      </w:r>
      <w:r w:rsidRPr="00CD003F">
        <w:rPr>
          <w:rFonts w:ascii="Times New Roman" w:hAnsi="Times New Roman" w:cs="Times New Roman"/>
          <w:sz w:val="26"/>
          <w:szCs w:val="26"/>
        </w:rPr>
        <w:t xml:space="preserve">чтобы сохранить наследие прошлого, но и улучшить облик </w:t>
      </w:r>
      <w:r w:rsidR="00896921" w:rsidRPr="00CD003F">
        <w:rPr>
          <w:rFonts w:ascii="Times New Roman" w:hAnsi="Times New Roman" w:cs="Times New Roman"/>
          <w:sz w:val="26"/>
          <w:szCs w:val="26"/>
        </w:rPr>
        <w:t>сельского поселения Хулимсунт</w:t>
      </w:r>
      <w:r w:rsidRPr="00CD003F">
        <w:rPr>
          <w:rFonts w:ascii="Times New Roman" w:hAnsi="Times New Roman" w:cs="Times New Roman"/>
          <w:sz w:val="26"/>
          <w:szCs w:val="26"/>
        </w:rPr>
        <w:t>.</w:t>
      </w:r>
    </w:p>
    <w:p w:rsidR="00896921" w:rsidRPr="00CD003F" w:rsidRDefault="00BD2575" w:rsidP="00CD0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 xml:space="preserve">Муниципальная программа </w:t>
      </w:r>
      <w:r w:rsidR="00896921" w:rsidRPr="00CD003F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муниципального образования сельского посел</w:t>
      </w:r>
      <w:r w:rsidR="00A53377" w:rsidRPr="00CD003F">
        <w:rPr>
          <w:rFonts w:ascii="Times New Roman" w:hAnsi="Times New Roman" w:cs="Times New Roman"/>
          <w:sz w:val="26"/>
          <w:szCs w:val="26"/>
        </w:rPr>
        <w:t>ения Хулимсунт</w:t>
      </w:r>
      <w:r w:rsidR="00896921" w:rsidRPr="00CD003F">
        <w:rPr>
          <w:rFonts w:ascii="Times New Roman" w:hAnsi="Times New Roman" w:cs="Times New Roman"/>
          <w:sz w:val="26"/>
          <w:szCs w:val="26"/>
        </w:rPr>
        <w:t>»</w:t>
      </w:r>
      <w:r w:rsidRPr="00CD003F">
        <w:rPr>
          <w:rFonts w:ascii="Times New Roman" w:hAnsi="Times New Roman" w:cs="Times New Roman"/>
          <w:sz w:val="26"/>
          <w:szCs w:val="26"/>
        </w:rPr>
        <w:t xml:space="preserve"> разработана с целью создания максимально благоприятных, комфортных и безопасных условий проживания населения, а также развития и обустройства мест массового отдыха населения муниципального образования.</w:t>
      </w:r>
    </w:p>
    <w:p w:rsidR="00BD2575" w:rsidRPr="00CD003F" w:rsidRDefault="00BD2575" w:rsidP="00CD0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 xml:space="preserve">Реализация Программы осуществляется по направлению </w:t>
      </w:r>
      <w:r w:rsidR="00DA0B29" w:rsidRPr="00CD003F">
        <w:rPr>
          <w:rFonts w:ascii="Times New Roman" w:hAnsi="Times New Roman" w:cs="Times New Roman"/>
          <w:sz w:val="26"/>
          <w:szCs w:val="26"/>
        </w:rPr>
        <w:t>модернизации придомовых детских площадок</w:t>
      </w:r>
      <w:r w:rsidRPr="00CD003F">
        <w:rPr>
          <w:rFonts w:ascii="Times New Roman" w:hAnsi="Times New Roman" w:cs="Times New Roman"/>
          <w:sz w:val="26"/>
          <w:szCs w:val="26"/>
        </w:rPr>
        <w:t xml:space="preserve"> на террито</w:t>
      </w:r>
      <w:r w:rsidR="00DA0B29" w:rsidRPr="00CD003F">
        <w:rPr>
          <w:rFonts w:ascii="Times New Roman" w:hAnsi="Times New Roman" w:cs="Times New Roman"/>
          <w:sz w:val="26"/>
          <w:szCs w:val="26"/>
        </w:rPr>
        <w:t>рии сельского поселения Хулимсунт</w:t>
      </w:r>
      <w:r w:rsidR="00A53377" w:rsidRPr="00CD003F">
        <w:rPr>
          <w:rFonts w:ascii="Times New Roman" w:hAnsi="Times New Roman" w:cs="Times New Roman"/>
          <w:sz w:val="26"/>
          <w:szCs w:val="26"/>
        </w:rPr>
        <w:t xml:space="preserve"> и увеличению количества благоустроенных общественных территорий</w:t>
      </w:r>
      <w:r w:rsidRPr="00CD003F">
        <w:rPr>
          <w:rFonts w:ascii="Times New Roman" w:hAnsi="Times New Roman" w:cs="Times New Roman"/>
          <w:sz w:val="26"/>
          <w:szCs w:val="26"/>
        </w:rPr>
        <w:t>.</w:t>
      </w:r>
    </w:p>
    <w:p w:rsidR="00BD2575" w:rsidRPr="00CD003F" w:rsidRDefault="00BD2575" w:rsidP="00CD0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>Проблема несоотве</w:t>
      </w:r>
      <w:r w:rsidR="00B84B81" w:rsidRPr="00CD003F">
        <w:rPr>
          <w:rFonts w:ascii="Times New Roman" w:hAnsi="Times New Roman" w:cs="Times New Roman"/>
          <w:sz w:val="26"/>
          <w:szCs w:val="26"/>
        </w:rPr>
        <w:t xml:space="preserve">тствия требованиям </w:t>
      </w:r>
      <w:r w:rsidR="00907D92" w:rsidRPr="00CD003F">
        <w:rPr>
          <w:rFonts w:ascii="Times New Roman" w:hAnsi="Times New Roman" w:cs="Times New Roman"/>
          <w:sz w:val="26"/>
          <w:szCs w:val="26"/>
        </w:rPr>
        <w:t>придомовых</w:t>
      </w:r>
      <w:r w:rsidRPr="00CD003F">
        <w:rPr>
          <w:rFonts w:ascii="Times New Roman" w:hAnsi="Times New Roman" w:cs="Times New Roman"/>
          <w:sz w:val="26"/>
          <w:szCs w:val="26"/>
        </w:rPr>
        <w:t xml:space="preserve"> </w:t>
      </w:r>
      <w:r w:rsidR="000756CB" w:rsidRPr="00CD003F">
        <w:rPr>
          <w:rFonts w:ascii="Times New Roman" w:hAnsi="Times New Roman" w:cs="Times New Roman"/>
          <w:sz w:val="26"/>
          <w:szCs w:val="26"/>
        </w:rPr>
        <w:t xml:space="preserve">детских </w:t>
      </w:r>
      <w:r w:rsidRPr="00CD003F">
        <w:rPr>
          <w:rFonts w:ascii="Times New Roman" w:hAnsi="Times New Roman" w:cs="Times New Roman"/>
          <w:sz w:val="26"/>
          <w:szCs w:val="26"/>
        </w:rPr>
        <w:t>площадок на террито</w:t>
      </w:r>
      <w:r w:rsidR="00DA0B29" w:rsidRPr="00CD003F">
        <w:rPr>
          <w:rFonts w:ascii="Times New Roman" w:hAnsi="Times New Roman" w:cs="Times New Roman"/>
          <w:sz w:val="26"/>
          <w:szCs w:val="26"/>
        </w:rPr>
        <w:t xml:space="preserve">рии сельского поселения Хулимсунт </w:t>
      </w:r>
      <w:r w:rsidRPr="00CD003F">
        <w:rPr>
          <w:rFonts w:ascii="Times New Roman" w:hAnsi="Times New Roman" w:cs="Times New Roman"/>
          <w:sz w:val="26"/>
          <w:szCs w:val="26"/>
        </w:rPr>
        <w:t>является одной из самых насущных, требующей каждодневного внимания и эффективного решения. Необходимо принятие комплекса мер, направленных на приведение в надлежащее состояние территорий общего пользования.</w:t>
      </w:r>
    </w:p>
    <w:p w:rsidR="00BD2575" w:rsidRPr="00CD003F" w:rsidRDefault="00907D92" w:rsidP="00CD003F">
      <w:pPr>
        <w:pStyle w:val="Default"/>
        <w:ind w:firstLine="707"/>
        <w:jc w:val="both"/>
        <w:rPr>
          <w:sz w:val="26"/>
          <w:szCs w:val="26"/>
        </w:rPr>
      </w:pPr>
      <w:r w:rsidRPr="00CD003F">
        <w:rPr>
          <w:sz w:val="26"/>
          <w:szCs w:val="26"/>
        </w:rPr>
        <w:t>Придомовые</w:t>
      </w:r>
      <w:r w:rsidR="00BD2575" w:rsidRPr="00CD003F">
        <w:rPr>
          <w:iCs/>
          <w:sz w:val="26"/>
          <w:szCs w:val="26"/>
        </w:rPr>
        <w:t xml:space="preserve"> детские площадки</w:t>
      </w:r>
      <w:r w:rsidR="00BD2575" w:rsidRPr="00CD003F">
        <w:rPr>
          <w:b/>
          <w:i/>
          <w:iCs/>
          <w:sz w:val="26"/>
          <w:szCs w:val="26"/>
        </w:rPr>
        <w:t xml:space="preserve"> </w:t>
      </w:r>
      <w:r w:rsidR="00BD2575" w:rsidRPr="00CD003F">
        <w:rPr>
          <w:sz w:val="26"/>
          <w:szCs w:val="26"/>
        </w:rPr>
        <w:t xml:space="preserve">являются важнейшей составной частью территории поселка. От уровня эксплуатационного состояния </w:t>
      </w:r>
      <w:r w:rsidRPr="00CD003F">
        <w:rPr>
          <w:sz w:val="26"/>
          <w:szCs w:val="26"/>
        </w:rPr>
        <w:t>придомовых</w:t>
      </w:r>
      <w:r w:rsidR="00BD2575" w:rsidRPr="00CD003F">
        <w:rPr>
          <w:sz w:val="26"/>
          <w:szCs w:val="26"/>
        </w:rPr>
        <w:t xml:space="preserve"> детских площадок во многом зависит безопасность нахождения детей на данных объектах и качество жизни населения. Текущее состояние большинства </w:t>
      </w:r>
      <w:r w:rsidRPr="00CD003F">
        <w:rPr>
          <w:sz w:val="26"/>
          <w:szCs w:val="26"/>
        </w:rPr>
        <w:t>придомовых</w:t>
      </w:r>
      <w:r w:rsidR="00BD2575" w:rsidRPr="00CD003F">
        <w:rPr>
          <w:sz w:val="26"/>
          <w:szCs w:val="26"/>
        </w:rPr>
        <w:t xml:space="preserve"> детских площадок не соответствует современным требованиям к местам пребывания детей. А именно</w:t>
      </w:r>
      <w:r w:rsidR="00DA0B29" w:rsidRPr="00CD003F">
        <w:rPr>
          <w:sz w:val="26"/>
          <w:szCs w:val="26"/>
        </w:rPr>
        <w:t xml:space="preserve"> </w:t>
      </w:r>
      <w:r w:rsidR="00BD2575" w:rsidRPr="00CD003F">
        <w:rPr>
          <w:sz w:val="26"/>
          <w:szCs w:val="26"/>
        </w:rPr>
        <w:t xml:space="preserve">устаревшее и не безопасное </w:t>
      </w:r>
      <w:proofErr w:type="gramStart"/>
      <w:r w:rsidR="00BD2575" w:rsidRPr="00CD003F">
        <w:rPr>
          <w:sz w:val="26"/>
          <w:szCs w:val="26"/>
        </w:rPr>
        <w:t>покрытие  на</w:t>
      </w:r>
      <w:proofErr w:type="gramEnd"/>
      <w:r w:rsidR="00BD2575" w:rsidRPr="00CD003F">
        <w:rPr>
          <w:sz w:val="26"/>
          <w:szCs w:val="26"/>
        </w:rPr>
        <w:t xml:space="preserve"> значительной части площадок, устаревшие конструкции, не соответствующее требованиям ограждения, в неисправности трибуны.</w:t>
      </w:r>
    </w:p>
    <w:p w:rsidR="00BD2575" w:rsidRPr="00CD003F" w:rsidRDefault="00BD2575" w:rsidP="00CD003F">
      <w:pPr>
        <w:pStyle w:val="Default"/>
        <w:ind w:firstLine="707"/>
        <w:jc w:val="both"/>
        <w:rPr>
          <w:sz w:val="26"/>
          <w:szCs w:val="26"/>
        </w:rPr>
      </w:pPr>
      <w:r w:rsidRPr="00CD003F">
        <w:rPr>
          <w:sz w:val="26"/>
          <w:szCs w:val="26"/>
        </w:rPr>
        <w:t xml:space="preserve">Существующее положение обусловлено рядом факторов: введение новых современных требований к благоустройству и содержанию </w:t>
      </w:r>
      <w:r w:rsidR="00B223B6" w:rsidRPr="00CD003F">
        <w:rPr>
          <w:sz w:val="26"/>
          <w:szCs w:val="26"/>
        </w:rPr>
        <w:t>придомовых детских площадок</w:t>
      </w:r>
      <w:r w:rsidRPr="00CD003F">
        <w:rPr>
          <w:sz w:val="26"/>
          <w:szCs w:val="26"/>
        </w:rPr>
        <w:t>, недостаточное финансирование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</w:t>
      </w:r>
    </w:p>
    <w:p w:rsidR="00BD2575" w:rsidRPr="00CD003F" w:rsidRDefault="00BD2575" w:rsidP="00CD003F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003F">
        <w:rPr>
          <w:rFonts w:ascii="Times New Roman" w:hAnsi="Times New Roman" w:cs="Times New Roman"/>
          <w:sz w:val="26"/>
          <w:szCs w:val="26"/>
        </w:rPr>
        <w:t xml:space="preserve">При выполнении работ по </w:t>
      </w:r>
      <w:r w:rsidR="00DA0B29" w:rsidRPr="00CD003F">
        <w:rPr>
          <w:rFonts w:ascii="Times New Roman" w:hAnsi="Times New Roman" w:cs="Times New Roman"/>
          <w:sz w:val="26"/>
          <w:szCs w:val="26"/>
        </w:rPr>
        <w:t xml:space="preserve">максимально благоприятных, комфортных и безопасных условий проживания населения, а также развития и обустройства мест массового отдыха населения муниципального образования </w:t>
      </w:r>
      <w:r w:rsidRPr="00CD003F">
        <w:rPr>
          <w:rFonts w:ascii="Times New Roman" w:hAnsi="Times New Roman" w:cs="Times New Roman"/>
          <w:sz w:val="26"/>
          <w:szCs w:val="26"/>
        </w:rPr>
        <w:t>необходимо учитывать мнение жителей и сложившуюся инфраструктуру территории дворов для определения функциональных зон и выполнения других мероприятий.</w:t>
      </w:r>
    </w:p>
    <w:p w:rsidR="00DA0B29" w:rsidRPr="00CD003F" w:rsidRDefault="00DA0B29" w:rsidP="00CD003F">
      <w:pPr>
        <w:pStyle w:val="Default"/>
        <w:ind w:firstLine="707"/>
        <w:jc w:val="both"/>
        <w:rPr>
          <w:sz w:val="26"/>
          <w:szCs w:val="26"/>
        </w:rPr>
      </w:pPr>
      <w:r w:rsidRPr="00CD003F">
        <w:rPr>
          <w:sz w:val="26"/>
          <w:szCs w:val="26"/>
        </w:rPr>
        <w:t xml:space="preserve">Модернизация </w:t>
      </w:r>
      <w:r w:rsidR="00B223B6" w:rsidRPr="00CD003F">
        <w:rPr>
          <w:sz w:val="26"/>
          <w:szCs w:val="26"/>
        </w:rPr>
        <w:t xml:space="preserve">придомовых детских площадок </w:t>
      </w:r>
      <w:r w:rsidR="00BD2575" w:rsidRPr="00CD003F">
        <w:rPr>
          <w:sz w:val="26"/>
          <w:szCs w:val="26"/>
        </w:rPr>
        <w:t xml:space="preserve">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</w:t>
      </w:r>
      <w:proofErr w:type="gramStart"/>
      <w:r w:rsidR="00BD2575" w:rsidRPr="00CD003F">
        <w:rPr>
          <w:sz w:val="26"/>
          <w:szCs w:val="26"/>
        </w:rPr>
        <w:t>безопасные  условия</w:t>
      </w:r>
      <w:proofErr w:type="gramEnd"/>
      <w:r w:rsidR="00BD2575" w:rsidRPr="00CD003F">
        <w:rPr>
          <w:sz w:val="26"/>
          <w:szCs w:val="26"/>
        </w:rPr>
        <w:t xml:space="preserve"> отдыха и жизни детей.</w:t>
      </w:r>
    </w:p>
    <w:p w:rsidR="00DA0B29" w:rsidRPr="00CD003F" w:rsidRDefault="00DA0B29" w:rsidP="00CD003F">
      <w:pPr>
        <w:pStyle w:val="ConsPlusNormal"/>
        <w:jc w:val="both"/>
        <w:outlineLvl w:val="1"/>
        <w:rPr>
          <w:b/>
          <w:sz w:val="26"/>
          <w:szCs w:val="26"/>
        </w:rPr>
      </w:pPr>
    </w:p>
    <w:p w:rsidR="00A53377" w:rsidRPr="00CD003F" w:rsidRDefault="00A53377" w:rsidP="00CD003F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00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 2. Механизм реализации муниципальной программы.</w:t>
      </w:r>
    </w:p>
    <w:p w:rsidR="00A53377" w:rsidRPr="00CD003F" w:rsidRDefault="00A53377" w:rsidP="00CD003F">
      <w:pPr>
        <w:keepNext/>
        <w:keepLines/>
        <w:spacing w:before="40" w:after="0" w:line="240" w:lineRule="auto"/>
        <w:jc w:val="both"/>
        <w:outlineLvl w:val="1"/>
        <w:rPr>
          <w:rFonts w:ascii="Times New Roman" w:eastAsia="Times New Roman" w:hAnsi="Times New Roman" w:cs="Times New Roman"/>
          <w:color w:val="365F91"/>
          <w:sz w:val="26"/>
          <w:szCs w:val="26"/>
          <w:lang w:eastAsia="ru-RU"/>
        </w:rPr>
      </w:pP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2.1. Механизм реализации муниципальной программы включает: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разработку и принятие муниципальных нормативных правовых актов, необходимых для выполнения муниципальной программы;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ежегодное уточнение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</w:t>
      </w: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программы, указанных в таблице 1, а также связанные с изменениями внешней среды. Внешним условием, при котором возникают риски реализации мероприятий муниципальной программы, является ухудшение финансово-экономической ситуации на мировом финансовом рынке;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обеспечение управления муниципальной программой, эффективное использование средств, выделенных на реализацию муниципальной программы;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предоставление отчета о выполнении муниципальной программы в состав итогов социально-экономического развития сельского поселения Хулимсунт;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информирование общественности о ходе и результатах реализации муниципальной программы, финансировании программных мероприятий, в том числе о механизмах реализации отдельных мероприятий муниципальной программы.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Ответственным исполнителем муниципальной программы, является администрация сельского поселения Хулимсунт. Соисполнителем муниципальной программы является МКУ «Организационно-хозяйственная служба администрации сельского поселения Хулимсунт»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Ответственный исполнитель муниципальной программы: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предоставляет сведения, необходимые для проведения мониторинга реализации муниципальной программы, подготавливает отчет и представляет его в комитет по экономической политике администрации Березовского района в установленные сроки в соответствии с постановлением администрации сельского поселения Хулимсунт </w:t>
      </w:r>
      <w:hyperlink r:id="rId6" w:tooltip="постановление от 17.09.2018 0:00:00 №803 Администрация Березовского района&#10;&#10;О модельной муниципальной программе Березовского района, порядке принятия решения о разработке муниципальных программ Березовского района, их формирования, утверждения и реализации, по" w:history="1">
        <w:r w:rsidRPr="00CD00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 16.12.2020 № 90</w:t>
        </w:r>
      </w:hyperlink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модельной муниципальной программе сельского поселения Хулимсунт, порядке принятия решения о разработке муниципальных программ сельского поселения Хулимсунт, их формирования, утверждения и реализации, порядке проведения оценки эффективности реализации муниципальных программ сельского поселения Хулимсунт и признании утратившими силу некоторых муниципальных нормативных правовых актов администрации сельского поселения Хулимсунт»;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осуществляет текущее управление реализацией муниципальной программы, обладает правом вносить предложения об изменении объемов финансовых средств, направляемых на решение отдельных задач муниципальной программы;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Соисполнители муниципальной программы: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а) участвуют в разработке предложений по внесению изменений в муниципальную программу;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б) осуществляют реализацию мероприятий муниципальной программы, ответственность за реализацию которых возложена на соисполнителя;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в) ежемесячно, в срок не позднее последнего числа каждого месяца, представляют ответственному исполнителю муниципальной программы отчет по исполнению мероприятий, определенными в таблице 2 к муниципальной программе;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представляют ответственному исполнителю информацию, необходимую для проведения оценки эффективности муниципальной программы и подготовки годового отчета в установленные ответственным исполнителем сроки;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д) представляют ответственному исполнителю информацию об исполнении обязательств по заключенным контрактам в рамках реализации мероприятий муниципальной программы.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2.5. Оценка хода исполнения мероприятий муниципальной программы основана на мониторинге ожидаемых непосредственных и конечных результатов реализации муниципальной программы как сопоставления фактически достигнутых, так и целевых значений показателей. В соответствии с данными мониторинга по фактически достигнутым результатам реализации в муниципальную программу могут быть внесены корректировки. В случае выявления лучших практик реализации программных </w:t>
      </w: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мероприятий в муниципальную программу могут быть внесены корректировки, связанные с оптимизацией этих мероприятий.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2.6. Основные мероприятия муниципальной программы, реализуются в соответствии с Федеральным законом от 05.04.2013 года </w:t>
      </w:r>
      <w:hyperlink r:id="rId7" w:tooltip="ФЕДЕРАЛЬНЫЙ ЗАКОН от 05.04.2013 № 44-ФЗ ГОСУДАРСТВЕННАЯ ДУМА ФЕДЕРАЛЬНОГО СОБРАНИЯ РФ&#10;&#10;О КОНТРАКТНОЙ СИСТЕМЕ В СФЕРЕ ЗАКУПОК ТОВАРОВ, РАБОТ, УСЛУГ ДЛЯ ОБЕСПЕЧЕНИЯ ГОСУДАРСТВЕННЫХ И МУНИЦИПАЛЬНЫХ НУЖД" w:history="1">
        <w:r w:rsidRPr="00CD003F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№ 44-ФЗ «О контрактной</w:t>
        </w:r>
      </w:hyperlink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системе в сфере закупок товаров, работ, услуг для обеспечения государственных и муниципальных нужд», путем проведения аукционов и котировок. 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 В процессе реализации муниципальной программы может проявиться ряд внешних обстоятельств и рисков, представленных в таблице 3, которые могут влиять на ожидаемые непосредственные и конечные результаты реализации муниципальной программы.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К ним следует отнести риски: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2.7.1. Риск финансового обеспечения связан с недофинансированием мероприятий муниципальной программы, в связи с потенциально возможным дефицитом бюджета автономного округа и бюджета района.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2.7.2. Риск невыполнения муниципальных контрактов.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 с подготовкой проектов муниципальных контрактов, их размещением заказов, в установленном законом порядке, и исполнением муниципальных контрактов поставщиками продукции (работ, услуг) для муниципальных нужд.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Минимизация риска достигается планированием муниципальных закупок и контролем за исполнением муниципальных контрактов.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2.7.3. К правовым рискам реализации муниципальной программы относятся риски, связанные с изменениями законодательства (на федеральном и региональном уровнях). Регулирование данной группы рисков осуществляется посредством активной нормотворческой деятельности и законодательной инициативы.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2.7.4. Риск потери актуальности мероприятий муниципальной программы.</w:t>
      </w:r>
    </w:p>
    <w:p w:rsidR="00A53377" w:rsidRPr="00CD003F" w:rsidRDefault="00A53377" w:rsidP="00CD00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2.7.</w:t>
      </w:r>
      <w:proofErr w:type="gramStart"/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>5.Риск</w:t>
      </w:r>
      <w:proofErr w:type="gramEnd"/>
      <w:r w:rsidRPr="00CD003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несоответствия (в сторону уменьшения) фактически достигнутых показателей эффективности реализации муниципальной программы запланированным.</w:t>
      </w:r>
    </w:p>
    <w:p w:rsidR="00A53377" w:rsidRPr="00CD003F" w:rsidRDefault="00A53377" w:rsidP="00CD003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A53377" w:rsidRPr="00CD003F" w:rsidRDefault="00A53377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  <w:sectPr w:rsidR="00A53377" w:rsidRPr="00CD003F" w:rsidSect="009D7C40">
          <w:pgSz w:w="11906" w:h="16838"/>
          <w:pgMar w:top="822" w:right="707" w:bottom="1134" w:left="1134" w:header="709" w:footer="709" w:gutter="0"/>
          <w:cols w:space="708"/>
          <w:docGrid w:linePitch="360"/>
        </w:sectPr>
      </w:pPr>
    </w:p>
    <w:p w:rsidR="00AF5699" w:rsidRPr="00CD003F" w:rsidRDefault="00A53377" w:rsidP="00CD003F">
      <w:pPr>
        <w:pStyle w:val="a3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CD003F">
        <w:rPr>
          <w:rFonts w:ascii="Times New Roman" w:hAnsi="Times New Roman" w:cs="Times New Roman"/>
          <w:sz w:val="20"/>
          <w:szCs w:val="20"/>
        </w:rPr>
        <w:lastRenderedPageBreak/>
        <w:t>Таблица 1</w:t>
      </w:r>
    </w:p>
    <w:p w:rsidR="00903328" w:rsidRPr="00CD003F" w:rsidRDefault="00AF5699" w:rsidP="00CD003F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CD003F">
        <w:rPr>
          <w:rFonts w:ascii="Times New Roman" w:hAnsi="Times New Roman" w:cs="Times New Roman"/>
          <w:bCs/>
          <w:sz w:val="24"/>
          <w:szCs w:val="24"/>
        </w:rPr>
        <w:t>Целевые показатели муниципальной программы</w:t>
      </w:r>
    </w:p>
    <w:tbl>
      <w:tblPr>
        <w:tblpPr w:leftFromText="180" w:rightFromText="180" w:vertAnchor="text" w:horzAnchor="margin" w:tblpY="163"/>
        <w:tblW w:w="14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6"/>
        <w:gridCol w:w="4536"/>
        <w:gridCol w:w="1629"/>
        <w:gridCol w:w="992"/>
        <w:gridCol w:w="1134"/>
        <w:gridCol w:w="1134"/>
        <w:gridCol w:w="1134"/>
        <w:gridCol w:w="1134"/>
        <w:gridCol w:w="1276"/>
        <w:gridCol w:w="1350"/>
        <w:gridCol w:w="11"/>
      </w:tblGrid>
      <w:tr w:rsidR="00245CED" w:rsidRPr="00CD003F" w:rsidTr="009D7C40">
        <w:trPr>
          <w:gridAfter w:val="1"/>
          <w:wAfter w:w="11" w:type="dxa"/>
          <w:trHeight w:val="1969"/>
          <w:tblHeader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CD003F" w:rsidRDefault="00245CED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bookmarkStart w:id="1" w:name="_Toc261263263"/>
            <w:r w:rsidRPr="00CD003F">
              <w:rPr>
                <w:rFonts w:ascii="Times New Roman" w:hAnsi="Times New Roman" w:cs="Times New Roman"/>
              </w:rPr>
              <w:t>№</w:t>
            </w:r>
            <w:bookmarkEnd w:id="1"/>
          </w:p>
          <w:p w:rsidR="00245CED" w:rsidRPr="00CD003F" w:rsidRDefault="00245CED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003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CD003F" w:rsidRDefault="00245CED" w:rsidP="00CD003F">
            <w:pPr>
              <w:autoSpaceDE w:val="0"/>
              <w:autoSpaceDN w:val="0"/>
              <w:adjustRightInd w:val="0"/>
              <w:ind w:right="-125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CD003F" w:rsidRDefault="00245CED" w:rsidP="00CD003F">
            <w:pPr>
              <w:pStyle w:val="ConsPlusCell"/>
              <w:jc w:val="both"/>
              <w:rPr>
                <w:sz w:val="24"/>
                <w:szCs w:val="24"/>
              </w:rPr>
            </w:pPr>
            <w:r w:rsidRPr="00CD003F">
              <w:rPr>
                <w:sz w:val="24"/>
                <w:szCs w:val="24"/>
              </w:rPr>
              <w:t>Базовое</w:t>
            </w:r>
          </w:p>
          <w:p w:rsidR="00245CED" w:rsidRPr="00CD003F" w:rsidRDefault="00245CED" w:rsidP="00CD003F">
            <w:pPr>
              <w:autoSpaceDE w:val="0"/>
              <w:autoSpaceDN w:val="0"/>
              <w:adjustRightInd w:val="0"/>
              <w:spacing w:line="240" w:lineRule="exact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CED" w:rsidRPr="00CD003F" w:rsidRDefault="00245CED" w:rsidP="00CD003F">
            <w:pPr>
              <w:pStyle w:val="ConsPlusCell"/>
              <w:jc w:val="both"/>
              <w:rPr>
                <w:sz w:val="24"/>
                <w:szCs w:val="24"/>
              </w:rPr>
            </w:pPr>
            <w:r w:rsidRPr="00CD003F">
              <w:rPr>
                <w:sz w:val="24"/>
                <w:szCs w:val="24"/>
              </w:rPr>
              <w:t>Значения целевого показателя и (или) индикатора *</w:t>
            </w:r>
          </w:p>
          <w:p w:rsidR="00245CED" w:rsidRPr="00CD003F" w:rsidRDefault="00245CED" w:rsidP="00CD003F">
            <w:pPr>
              <w:autoSpaceDE w:val="0"/>
              <w:autoSpaceDN w:val="0"/>
              <w:adjustRightInd w:val="0"/>
              <w:spacing w:line="240" w:lineRule="exact"/>
              <w:ind w:left="-1652" w:firstLine="156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5CED" w:rsidRPr="00CD003F" w:rsidRDefault="00245CED" w:rsidP="00CD003F">
            <w:pPr>
              <w:autoSpaceDE w:val="0"/>
              <w:autoSpaceDN w:val="0"/>
              <w:adjustRightInd w:val="0"/>
              <w:spacing w:line="240" w:lineRule="exact"/>
              <w:ind w:left="-108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целевого показателя и (или) индикатора на момент </w:t>
            </w:r>
            <w:proofErr w:type="gramStart"/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окончания  действия</w:t>
            </w:r>
            <w:proofErr w:type="gramEnd"/>
            <w:r w:rsidRPr="00CD003F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</w:tr>
      <w:tr w:rsidR="009D7C40" w:rsidRPr="00CD003F" w:rsidTr="009D7C40">
        <w:trPr>
          <w:tblHeader/>
        </w:trPr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Toc261263270"/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bookmarkEnd w:id="2"/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2026-2030 год</w:t>
            </w:r>
          </w:p>
        </w:tc>
        <w:tc>
          <w:tcPr>
            <w:tcW w:w="1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ind w:left="-92" w:right="-124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7C40" w:rsidRPr="00CD003F" w:rsidTr="009D7C40">
        <w:trPr>
          <w:gridAfter w:val="1"/>
          <w:wAfter w:w="11" w:type="dxa"/>
          <w:trHeight w:val="31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0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D7C40" w:rsidRPr="00CD003F" w:rsidTr="009D7C40">
        <w:trPr>
          <w:gridAfter w:val="1"/>
          <w:wAfter w:w="11" w:type="dxa"/>
          <w:trHeight w:val="475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0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общественных территорий, подлежащих благоустройству, ед.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7C40" w:rsidRPr="00CD003F" w:rsidTr="009D7C40">
        <w:trPr>
          <w:gridAfter w:val="1"/>
          <w:wAfter w:w="11" w:type="dxa"/>
          <w:trHeight w:val="548"/>
          <w:tblHeader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CD0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Увеличени</w:t>
            </w:r>
            <w:r w:rsidR="003B7307" w:rsidRPr="00CD003F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модернизированных придомовых детских площадок, ед.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C40" w:rsidRPr="00CD003F" w:rsidRDefault="009D7C40" w:rsidP="00CD00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C40" w:rsidRPr="00CD003F" w:rsidRDefault="009D7C40" w:rsidP="00CD003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E4AF6" w:rsidRPr="00CD003F" w:rsidRDefault="00EE4AF6" w:rsidP="00CD003F">
      <w:pPr>
        <w:pStyle w:val="a3"/>
        <w:jc w:val="both"/>
        <w:rPr>
          <w:rFonts w:ascii="Times New Roman" w:hAnsi="Times New Roman" w:cs="Times New Roman"/>
        </w:rPr>
      </w:pPr>
    </w:p>
    <w:p w:rsidR="00C2329F" w:rsidRPr="00CD003F" w:rsidRDefault="00C2329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2329F" w:rsidRPr="00CD003F" w:rsidRDefault="00C2329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2329F" w:rsidRPr="00CD003F" w:rsidRDefault="00C2329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2329F" w:rsidRPr="00CD003F" w:rsidRDefault="00C2329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Pr="00CD003F" w:rsidRDefault="009D7C40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Pr="00CD003F" w:rsidRDefault="009D7C40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Default="00CD003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D003F" w:rsidRDefault="00CD003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CD003F" w:rsidRPr="00CD003F" w:rsidRDefault="00CD003F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Pr="00CD003F" w:rsidRDefault="009D7C40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Pr="00CD003F" w:rsidRDefault="009D7C40" w:rsidP="00CD003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p w:rsidR="009D7C40" w:rsidRPr="00CD003F" w:rsidRDefault="009D7C40" w:rsidP="00CD00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p w:rsidR="00C2329F" w:rsidRPr="00CD003F" w:rsidRDefault="00A53377" w:rsidP="00CD003F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CD003F">
        <w:rPr>
          <w:rFonts w:ascii="Times New Roman" w:hAnsi="Times New Roman" w:cs="Times New Roman"/>
          <w:sz w:val="20"/>
          <w:szCs w:val="20"/>
        </w:rPr>
        <w:t>Таблица 2</w:t>
      </w:r>
    </w:p>
    <w:p w:rsidR="00B90ECC" w:rsidRPr="00CD003F" w:rsidRDefault="0006636F" w:rsidP="00CD003F">
      <w:pPr>
        <w:ind w:left="-709"/>
        <w:jc w:val="right"/>
        <w:rPr>
          <w:rFonts w:ascii="Times New Roman" w:hAnsi="Times New Roman" w:cs="Times New Roman"/>
          <w:sz w:val="24"/>
          <w:szCs w:val="24"/>
        </w:rPr>
      </w:pPr>
      <w:bookmarkStart w:id="3" w:name="RANGE!A1:H23"/>
      <w:bookmarkEnd w:id="3"/>
      <w:r w:rsidRPr="00CD003F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="00260082" w:rsidRPr="00CD003F">
        <w:rPr>
          <w:rFonts w:ascii="Times New Roman" w:hAnsi="Times New Roman" w:cs="Times New Roman"/>
          <w:sz w:val="24"/>
          <w:szCs w:val="24"/>
        </w:rPr>
        <w:t>основных</w:t>
      </w:r>
      <w:r w:rsidRPr="00CD003F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3B474B" w:rsidRPr="00CD003F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pPr w:leftFromText="180" w:rightFromText="180" w:vertAnchor="text" w:horzAnchor="margin" w:tblpY="146"/>
        <w:tblW w:w="1510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0"/>
        <w:gridCol w:w="3466"/>
        <w:gridCol w:w="2001"/>
        <w:gridCol w:w="1985"/>
        <w:gridCol w:w="992"/>
        <w:gridCol w:w="1134"/>
        <w:gridCol w:w="992"/>
        <w:gridCol w:w="1134"/>
        <w:gridCol w:w="879"/>
        <w:gridCol w:w="822"/>
        <w:gridCol w:w="850"/>
        <w:gridCol w:w="10"/>
      </w:tblGrid>
      <w:tr w:rsidR="00423B6C" w:rsidRPr="00CD003F" w:rsidTr="00C2329F">
        <w:trPr>
          <w:trHeight w:val="502"/>
        </w:trPr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D003F" w:rsidRDefault="003B474B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423B6C" w:rsidRPr="00CD003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</w:t>
            </w: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423B6C" w:rsidRPr="00CD003F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00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68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</w:tc>
      </w:tr>
      <w:tr w:rsidR="00423B6C" w:rsidRPr="00CD003F" w:rsidTr="00C2329F">
        <w:trPr>
          <w:trHeight w:val="251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3B6C" w:rsidRPr="00CD003F" w:rsidRDefault="00F52045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23B6C" w:rsidRPr="00CD003F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58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423B6C" w:rsidRPr="00CD003F" w:rsidRDefault="00423B6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C2329F" w:rsidRPr="00CD003F" w:rsidTr="00C2329F">
        <w:trPr>
          <w:gridAfter w:val="1"/>
          <w:wAfter w:w="10" w:type="dxa"/>
          <w:trHeight w:val="376"/>
        </w:trPr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2026-2030 год</w:t>
            </w:r>
          </w:p>
        </w:tc>
      </w:tr>
      <w:tr w:rsidR="00C2329F" w:rsidRPr="00CD003F" w:rsidTr="00EF0710">
        <w:trPr>
          <w:gridAfter w:val="1"/>
          <w:wAfter w:w="10" w:type="dxa"/>
          <w:trHeight w:val="251"/>
        </w:trPr>
        <w:tc>
          <w:tcPr>
            <w:tcW w:w="84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66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eastAsia="Calibri" w:hAnsi="Times New Roman" w:cs="Times New Roman"/>
                <w:sz w:val="24"/>
                <w:szCs w:val="24"/>
              </w:rPr>
              <w:t>«Выполнение работ по устройству основания и укладки резинового покрытия на детской игровой площадки по адресу: д. Хулимсунт, мкр.3 дом 20, 22 (дворовая территория)»</w:t>
            </w:r>
          </w:p>
        </w:tc>
        <w:tc>
          <w:tcPr>
            <w:tcW w:w="2001" w:type="dxa"/>
            <w:vMerge w:val="restart"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F1DC9" w:rsidRPr="00CD003F" w:rsidTr="00EC177C">
        <w:trPr>
          <w:gridAfter w:val="1"/>
          <w:wAfter w:w="10" w:type="dxa"/>
          <w:trHeight w:val="481"/>
        </w:trPr>
        <w:tc>
          <w:tcPr>
            <w:tcW w:w="840" w:type="dxa"/>
            <w:vMerge/>
            <w:tcBorders>
              <w:top w:val="single" w:sz="3" w:space="0" w:color="000000"/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CF1DC9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CF1DC9" w:rsidP="00CD003F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3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CF1DC9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CF1DC9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1153,0</w:t>
            </w:r>
          </w:p>
        </w:tc>
        <w:tc>
          <w:tcPr>
            <w:tcW w:w="879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3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CF1DC9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9F" w:rsidRPr="00CD003F" w:rsidTr="00EF0710">
        <w:trPr>
          <w:gridAfter w:val="1"/>
          <w:wAfter w:w="10" w:type="dxa"/>
          <w:trHeight w:val="570"/>
        </w:trPr>
        <w:tc>
          <w:tcPr>
            <w:tcW w:w="840" w:type="dxa"/>
            <w:vMerge/>
            <w:tcBorders>
              <w:left w:val="single" w:sz="3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F1DC9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9F" w:rsidRPr="00CD003F" w:rsidTr="00EF0710">
        <w:trPr>
          <w:gridAfter w:val="1"/>
          <w:wAfter w:w="10" w:type="dxa"/>
          <w:trHeight w:val="323"/>
        </w:trPr>
        <w:tc>
          <w:tcPr>
            <w:tcW w:w="840" w:type="dxa"/>
            <w:vMerge/>
            <w:tcBorders>
              <w:left w:val="single" w:sz="3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9F" w:rsidRPr="00CD003F" w:rsidTr="00EF0710">
        <w:trPr>
          <w:gridAfter w:val="1"/>
          <w:wAfter w:w="10" w:type="dxa"/>
          <w:trHeight w:val="3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Администрация</w:t>
            </w:r>
            <w:proofErr w:type="spellEnd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сельского</w:t>
            </w:r>
            <w:proofErr w:type="spellEnd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поселения</w:t>
            </w:r>
            <w:proofErr w:type="spellEnd"/>
            <w:r w:rsidRPr="00CD00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Хулимсунт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D003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2978,0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2329F" w:rsidRPr="00CD003F" w:rsidTr="00EF0710">
        <w:trPr>
          <w:gridAfter w:val="1"/>
          <w:wAfter w:w="10" w:type="dxa"/>
          <w:trHeight w:val="105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2329F" w:rsidRPr="00CD003F" w:rsidTr="00EC177C">
        <w:trPr>
          <w:gridAfter w:val="1"/>
          <w:wAfter w:w="10" w:type="dxa"/>
          <w:trHeight w:val="270"/>
        </w:trPr>
        <w:tc>
          <w:tcPr>
            <w:tcW w:w="840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270,7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29F" w:rsidRPr="00CD003F" w:rsidRDefault="00C2329F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EC177C" w:rsidRPr="00CD003F" w:rsidTr="00EC177C">
        <w:trPr>
          <w:gridAfter w:val="1"/>
          <w:wAfter w:w="10" w:type="dxa"/>
          <w:trHeight w:val="773"/>
        </w:trPr>
        <w:tc>
          <w:tcPr>
            <w:tcW w:w="84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01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федерального</w:t>
            </w:r>
          </w:p>
          <w:p w:rsidR="00EC177C" w:rsidRPr="00CD003F" w:rsidRDefault="00EC177C" w:rsidP="00CD00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177C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FE6E5A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177C" w:rsidRPr="00CD003F" w:rsidRDefault="00FE6E5A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EC177C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1554,3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FE6E5A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FE6E5A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177C" w:rsidRPr="00CD003F" w:rsidRDefault="00FE6E5A" w:rsidP="00CD003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003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3B474B" w:rsidRPr="00CD003F" w:rsidRDefault="003B474B" w:rsidP="00CD0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RANGE!A1:I35"/>
      <w:bookmarkEnd w:id="4"/>
    </w:p>
    <w:p w:rsidR="009D7C40" w:rsidRPr="00CD003F" w:rsidRDefault="009D7C40" w:rsidP="00CD0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0" w:rsidRPr="00CD003F" w:rsidRDefault="009D7C40" w:rsidP="00CD003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0" w:rsidRPr="00CD003F" w:rsidRDefault="009D7C40" w:rsidP="00CD00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D7C40" w:rsidRPr="00CD003F" w:rsidSect="00A53377">
          <w:pgSz w:w="16838" w:h="11906" w:orient="landscape"/>
          <w:pgMar w:top="851" w:right="822" w:bottom="1701" w:left="1134" w:header="709" w:footer="709" w:gutter="0"/>
          <w:cols w:space="708"/>
          <w:docGrid w:linePitch="360"/>
        </w:sectPr>
      </w:pPr>
    </w:p>
    <w:p w:rsidR="009D7C40" w:rsidRPr="00CD003F" w:rsidRDefault="009D7C40" w:rsidP="00CD003F">
      <w:pPr>
        <w:spacing w:before="100" w:beforeAutospacing="1" w:after="100" w:afterAutospacing="1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7C40" w:rsidRPr="00CD003F" w:rsidRDefault="009D7C40" w:rsidP="00CD003F">
      <w:pPr>
        <w:widowControl w:val="0"/>
        <w:autoSpaceDE w:val="0"/>
        <w:autoSpaceDN w:val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 w:rsidRPr="00CD003F">
        <w:rPr>
          <w:rFonts w:ascii="Times New Roman" w:hAnsi="Times New Roman" w:cs="Times New Roman"/>
          <w:sz w:val="28"/>
          <w:szCs w:val="28"/>
        </w:rPr>
        <w:t>Таблица 3</w:t>
      </w:r>
    </w:p>
    <w:p w:rsidR="009D7C40" w:rsidRPr="00CD003F" w:rsidRDefault="009D7C40" w:rsidP="00CD003F">
      <w:pPr>
        <w:ind w:firstLine="567"/>
        <w:jc w:val="right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CD003F">
        <w:rPr>
          <w:rFonts w:ascii="Times New Roman" w:hAnsi="Times New Roman" w:cs="Times New Roman"/>
          <w:bCs/>
          <w:iCs/>
          <w:sz w:val="28"/>
          <w:szCs w:val="28"/>
        </w:rPr>
        <w:t>Перечень возможных рисков при реализации муниципальной программы и мер по их преодолению</w:t>
      </w:r>
    </w:p>
    <w:p w:rsidR="009D7C40" w:rsidRPr="00CD003F" w:rsidRDefault="009D7C40" w:rsidP="00CD003F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03"/>
      </w:tblGrid>
      <w:tr w:rsidR="009D7C40" w:rsidRPr="00CD003F" w:rsidTr="000F2000">
        <w:tc>
          <w:tcPr>
            <w:tcW w:w="675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011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Описание риска</w:t>
            </w:r>
          </w:p>
        </w:tc>
        <w:tc>
          <w:tcPr>
            <w:tcW w:w="6203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Меры по преодолению рисков</w:t>
            </w:r>
          </w:p>
        </w:tc>
      </w:tr>
      <w:tr w:rsidR="009D7C40" w:rsidRPr="00CD003F" w:rsidTr="000F2000">
        <w:tc>
          <w:tcPr>
            <w:tcW w:w="675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1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6203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3</w:t>
            </w:r>
          </w:p>
        </w:tc>
      </w:tr>
    </w:tbl>
    <w:p w:rsidR="009D7C40" w:rsidRPr="00CD003F" w:rsidRDefault="009D7C40" w:rsidP="00CD003F">
      <w:pPr>
        <w:jc w:val="both"/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1"/>
        <w:gridCol w:w="6232"/>
      </w:tblGrid>
      <w:tr w:rsidR="009D7C40" w:rsidRPr="00CD003F" w:rsidTr="009D7C40">
        <w:tc>
          <w:tcPr>
            <w:tcW w:w="675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011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Риск финансового обеспечения</w:t>
            </w:r>
          </w:p>
        </w:tc>
        <w:tc>
          <w:tcPr>
            <w:tcW w:w="6232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Мониторинг мероприятий</w:t>
            </w:r>
          </w:p>
        </w:tc>
      </w:tr>
      <w:tr w:rsidR="009D7C40" w:rsidRPr="00CD003F" w:rsidTr="009D7C40">
        <w:tc>
          <w:tcPr>
            <w:tcW w:w="675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011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9D7C40" w:rsidRPr="00CD003F" w:rsidTr="009D7C40">
        <w:tc>
          <w:tcPr>
            <w:tcW w:w="675" w:type="dxa"/>
            <w:shd w:val="clear" w:color="auto" w:fill="auto"/>
            <w:hideMark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011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Правовые риски</w:t>
            </w:r>
          </w:p>
        </w:tc>
        <w:tc>
          <w:tcPr>
            <w:tcW w:w="6232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9D7C40" w:rsidRPr="00CD003F" w:rsidTr="009D7C40">
        <w:tc>
          <w:tcPr>
            <w:tcW w:w="675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011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shd w:val="clear" w:color="auto" w:fill="auto"/>
          </w:tcPr>
          <w:p w:rsidR="009D7C40" w:rsidRPr="00CD003F" w:rsidRDefault="009D7C40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Планирование и контроль мероприятий муниципальной программы.</w:t>
            </w:r>
          </w:p>
        </w:tc>
      </w:tr>
      <w:tr w:rsidR="00CD003F" w:rsidRPr="00CD003F" w:rsidTr="00CD003F">
        <w:trPr>
          <w:trHeight w:val="3147"/>
        </w:trPr>
        <w:tc>
          <w:tcPr>
            <w:tcW w:w="675" w:type="dxa"/>
            <w:shd w:val="clear" w:color="auto" w:fill="auto"/>
          </w:tcPr>
          <w:p w:rsidR="00CD003F" w:rsidRPr="00CD003F" w:rsidRDefault="00CD003F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011" w:type="dxa"/>
            <w:shd w:val="clear" w:color="auto" w:fill="auto"/>
          </w:tcPr>
          <w:p w:rsidR="00CD003F" w:rsidRPr="00CD003F" w:rsidRDefault="00CD003F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Риск несоответствия (в сторону уменьшения) фактически достигнутых показателей эффективности реализации муниципальной программы запланированным</w:t>
            </w:r>
          </w:p>
        </w:tc>
        <w:tc>
          <w:tcPr>
            <w:tcW w:w="6232" w:type="dxa"/>
            <w:shd w:val="clear" w:color="auto" w:fill="auto"/>
          </w:tcPr>
          <w:p w:rsidR="00CD003F" w:rsidRPr="00CD003F" w:rsidRDefault="00CD003F" w:rsidP="00CD003F">
            <w:pPr>
              <w:jc w:val="both"/>
              <w:rPr>
                <w:rFonts w:ascii="Times New Roman" w:eastAsia="Calibri" w:hAnsi="Times New Roman" w:cs="Times New Roman"/>
              </w:rPr>
            </w:pPr>
            <w:r w:rsidRPr="00CD003F">
              <w:rPr>
                <w:rFonts w:ascii="Times New Roman" w:eastAsia="Calibri" w:hAnsi="Times New Roman" w:cs="Times New Roman"/>
              </w:rPr>
              <w:t>Планирование и мониторинг показателей.</w:t>
            </w:r>
          </w:p>
        </w:tc>
      </w:tr>
    </w:tbl>
    <w:p w:rsidR="009D7C40" w:rsidRDefault="009D7C40" w:rsidP="00CD003F">
      <w:pPr>
        <w:rPr>
          <w:rFonts w:eastAsia="Calibri"/>
        </w:rPr>
        <w:sectPr w:rsidR="009D7C40" w:rsidSect="009D7C40">
          <w:pgSz w:w="11906" w:h="16838"/>
          <w:pgMar w:top="822" w:right="1701" w:bottom="1134" w:left="851" w:header="709" w:footer="709" w:gutter="0"/>
          <w:cols w:space="708"/>
          <w:docGrid w:linePitch="360"/>
        </w:sectPr>
      </w:pPr>
    </w:p>
    <w:p w:rsidR="009D7C40" w:rsidRPr="00FB6B60" w:rsidRDefault="009D7C40" w:rsidP="009D7C40">
      <w:pPr>
        <w:rPr>
          <w:sz w:val="23"/>
          <w:szCs w:val="23"/>
        </w:rPr>
      </w:pPr>
    </w:p>
    <w:p w:rsidR="009D7C40" w:rsidRDefault="009D7C40" w:rsidP="009D7C40"/>
    <w:p w:rsidR="009D7C40" w:rsidRPr="00356339" w:rsidRDefault="009D7C40" w:rsidP="009D7C40"/>
    <w:p w:rsidR="009D7C40" w:rsidRPr="00C2329F" w:rsidRDefault="009D7C40" w:rsidP="00C04409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D7C40" w:rsidRPr="00C2329F" w:rsidSect="00A53377">
      <w:pgSz w:w="16838" w:h="11906" w:orient="landscape"/>
      <w:pgMar w:top="851" w:right="82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973D6"/>
    <w:multiLevelType w:val="hybridMultilevel"/>
    <w:tmpl w:val="6F7083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764A04"/>
    <w:multiLevelType w:val="hybridMultilevel"/>
    <w:tmpl w:val="0AD034CC"/>
    <w:lvl w:ilvl="0" w:tplc="3B78D07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62C116B"/>
    <w:multiLevelType w:val="hybridMultilevel"/>
    <w:tmpl w:val="BB068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04E8C"/>
    <w:multiLevelType w:val="hybridMultilevel"/>
    <w:tmpl w:val="189223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2AD46BC"/>
    <w:multiLevelType w:val="multilevel"/>
    <w:tmpl w:val="095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5C20D7F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B53428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D3A02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A0E6E"/>
    <w:multiLevelType w:val="hybridMultilevel"/>
    <w:tmpl w:val="86CCCEB8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E5066CA"/>
    <w:multiLevelType w:val="multilevel"/>
    <w:tmpl w:val="0952CE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22961FB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7250D"/>
    <w:multiLevelType w:val="multilevel"/>
    <w:tmpl w:val="BB068D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13"/>
  </w:num>
  <w:num w:numId="10">
    <w:abstractNumId w:val="7"/>
  </w:num>
  <w:num w:numId="11">
    <w:abstractNumId w:val="8"/>
  </w:num>
  <w:num w:numId="12">
    <w:abstractNumId w:val="12"/>
  </w:num>
  <w:num w:numId="13">
    <w:abstractNumId w:val="6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E"/>
    <w:rsid w:val="000031A8"/>
    <w:rsid w:val="0001073A"/>
    <w:rsid w:val="00014C6F"/>
    <w:rsid w:val="000328CF"/>
    <w:rsid w:val="00043633"/>
    <w:rsid w:val="00046ED6"/>
    <w:rsid w:val="0005624F"/>
    <w:rsid w:val="0006636F"/>
    <w:rsid w:val="000756CB"/>
    <w:rsid w:val="00077567"/>
    <w:rsid w:val="000832F6"/>
    <w:rsid w:val="000836CE"/>
    <w:rsid w:val="00092AC6"/>
    <w:rsid w:val="000A3352"/>
    <w:rsid w:val="000A6456"/>
    <w:rsid w:val="000B77C8"/>
    <w:rsid w:val="000C6908"/>
    <w:rsid w:val="000D0FD3"/>
    <w:rsid w:val="000D554D"/>
    <w:rsid w:val="000D5622"/>
    <w:rsid w:val="000E0DE9"/>
    <w:rsid w:val="001104BB"/>
    <w:rsid w:val="00110FD8"/>
    <w:rsid w:val="001217D8"/>
    <w:rsid w:val="00131E1A"/>
    <w:rsid w:val="00134518"/>
    <w:rsid w:val="00166CF5"/>
    <w:rsid w:val="00196C53"/>
    <w:rsid w:val="001A3815"/>
    <w:rsid w:val="001A5066"/>
    <w:rsid w:val="001C21EF"/>
    <w:rsid w:val="001E4FE3"/>
    <w:rsid w:val="001F19BD"/>
    <w:rsid w:val="001F5012"/>
    <w:rsid w:val="0021003E"/>
    <w:rsid w:val="00216819"/>
    <w:rsid w:val="00217691"/>
    <w:rsid w:val="00245CED"/>
    <w:rsid w:val="0024607A"/>
    <w:rsid w:val="00246581"/>
    <w:rsid w:val="00254CF9"/>
    <w:rsid w:val="002559B6"/>
    <w:rsid w:val="002566E3"/>
    <w:rsid w:val="00260082"/>
    <w:rsid w:val="00264226"/>
    <w:rsid w:val="002642CF"/>
    <w:rsid w:val="002657F2"/>
    <w:rsid w:val="002708DB"/>
    <w:rsid w:val="00271D22"/>
    <w:rsid w:val="002733FE"/>
    <w:rsid w:val="00276E51"/>
    <w:rsid w:val="00292D1C"/>
    <w:rsid w:val="002968F6"/>
    <w:rsid w:val="002C11F6"/>
    <w:rsid w:val="002E3909"/>
    <w:rsid w:val="002F61D7"/>
    <w:rsid w:val="003011FE"/>
    <w:rsid w:val="00305C5F"/>
    <w:rsid w:val="00306839"/>
    <w:rsid w:val="00311AA6"/>
    <w:rsid w:val="00340C7B"/>
    <w:rsid w:val="00341CA2"/>
    <w:rsid w:val="00351035"/>
    <w:rsid w:val="00354D05"/>
    <w:rsid w:val="003617BF"/>
    <w:rsid w:val="003636B3"/>
    <w:rsid w:val="00364FBD"/>
    <w:rsid w:val="00380B50"/>
    <w:rsid w:val="0039552E"/>
    <w:rsid w:val="003A40E7"/>
    <w:rsid w:val="003A7880"/>
    <w:rsid w:val="003B27CF"/>
    <w:rsid w:val="003B474B"/>
    <w:rsid w:val="003B7307"/>
    <w:rsid w:val="003D42AE"/>
    <w:rsid w:val="003D7805"/>
    <w:rsid w:val="003E64BF"/>
    <w:rsid w:val="0041156F"/>
    <w:rsid w:val="00423B6C"/>
    <w:rsid w:val="00436003"/>
    <w:rsid w:val="00461D7E"/>
    <w:rsid w:val="004B2693"/>
    <w:rsid w:val="004C61B8"/>
    <w:rsid w:val="004D45B2"/>
    <w:rsid w:val="004D6E10"/>
    <w:rsid w:val="004E1D45"/>
    <w:rsid w:val="004E6341"/>
    <w:rsid w:val="005052D9"/>
    <w:rsid w:val="00513479"/>
    <w:rsid w:val="005558B5"/>
    <w:rsid w:val="00560C01"/>
    <w:rsid w:val="005631C1"/>
    <w:rsid w:val="005A3159"/>
    <w:rsid w:val="005B2236"/>
    <w:rsid w:val="005B2B4D"/>
    <w:rsid w:val="005D0029"/>
    <w:rsid w:val="005E6C86"/>
    <w:rsid w:val="006208EC"/>
    <w:rsid w:val="00627D9D"/>
    <w:rsid w:val="00634D0F"/>
    <w:rsid w:val="00640D7A"/>
    <w:rsid w:val="006543CE"/>
    <w:rsid w:val="00661239"/>
    <w:rsid w:val="006775C1"/>
    <w:rsid w:val="0069172A"/>
    <w:rsid w:val="00693C02"/>
    <w:rsid w:val="006B01D8"/>
    <w:rsid w:val="006C0494"/>
    <w:rsid w:val="00700AB8"/>
    <w:rsid w:val="007202E9"/>
    <w:rsid w:val="00730627"/>
    <w:rsid w:val="00732AF9"/>
    <w:rsid w:val="00732E69"/>
    <w:rsid w:val="00744737"/>
    <w:rsid w:val="0075554B"/>
    <w:rsid w:val="00764E1E"/>
    <w:rsid w:val="00775029"/>
    <w:rsid w:val="007764C5"/>
    <w:rsid w:val="007C43E7"/>
    <w:rsid w:val="007D17C3"/>
    <w:rsid w:val="007D5F07"/>
    <w:rsid w:val="007F0542"/>
    <w:rsid w:val="00804869"/>
    <w:rsid w:val="00804BF1"/>
    <w:rsid w:val="008151D9"/>
    <w:rsid w:val="0081632F"/>
    <w:rsid w:val="00825E3F"/>
    <w:rsid w:val="00846C4A"/>
    <w:rsid w:val="00870F13"/>
    <w:rsid w:val="00887A10"/>
    <w:rsid w:val="0089636A"/>
    <w:rsid w:val="00896921"/>
    <w:rsid w:val="008B378E"/>
    <w:rsid w:val="008D73A3"/>
    <w:rsid w:val="008E32FC"/>
    <w:rsid w:val="008E682D"/>
    <w:rsid w:val="009009C5"/>
    <w:rsid w:val="00900D88"/>
    <w:rsid w:val="009013E0"/>
    <w:rsid w:val="00903328"/>
    <w:rsid w:val="0090351A"/>
    <w:rsid w:val="0090798C"/>
    <w:rsid w:val="00907D48"/>
    <w:rsid w:val="00907D92"/>
    <w:rsid w:val="009154E0"/>
    <w:rsid w:val="009155FC"/>
    <w:rsid w:val="00917845"/>
    <w:rsid w:val="00946A87"/>
    <w:rsid w:val="00957024"/>
    <w:rsid w:val="00972957"/>
    <w:rsid w:val="00976055"/>
    <w:rsid w:val="00982D26"/>
    <w:rsid w:val="00983853"/>
    <w:rsid w:val="0098705D"/>
    <w:rsid w:val="00990FF4"/>
    <w:rsid w:val="00991506"/>
    <w:rsid w:val="0099268D"/>
    <w:rsid w:val="00996012"/>
    <w:rsid w:val="009A746E"/>
    <w:rsid w:val="009B6391"/>
    <w:rsid w:val="009C5A32"/>
    <w:rsid w:val="009D12BA"/>
    <w:rsid w:val="009D7C40"/>
    <w:rsid w:val="009F5D35"/>
    <w:rsid w:val="009F71F1"/>
    <w:rsid w:val="00A21F8D"/>
    <w:rsid w:val="00A26D9D"/>
    <w:rsid w:val="00A43D76"/>
    <w:rsid w:val="00A47E5A"/>
    <w:rsid w:val="00A5037E"/>
    <w:rsid w:val="00A53377"/>
    <w:rsid w:val="00A659FB"/>
    <w:rsid w:val="00A83B68"/>
    <w:rsid w:val="00A9168F"/>
    <w:rsid w:val="00AA3EF5"/>
    <w:rsid w:val="00AC72D4"/>
    <w:rsid w:val="00AD6413"/>
    <w:rsid w:val="00AE2B76"/>
    <w:rsid w:val="00AF5699"/>
    <w:rsid w:val="00B075A6"/>
    <w:rsid w:val="00B11440"/>
    <w:rsid w:val="00B223B6"/>
    <w:rsid w:val="00B25696"/>
    <w:rsid w:val="00B808C7"/>
    <w:rsid w:val="00B82D5C"/>
    <w:rsid w:val="00B84B81"/>
    <w:rsid w:val="00B90ECC"/>
    <w:rsid w:val="00B93958"/>
    <w:rsid w:val="00B94C4C"/>
    <w:rsid w:val="00BB2E4C"/>
    <w:rsid w:val="00BD0DF5"/>
    <w:rsid w:val="00BD2575"/>
    <w:rsid w:val="00BD287B"/>
    <w:rsid w:val="00C0271D"/>
    <w:rsid w:val="00C04409"/>
    <w:rsid w:val="00C06F99"/>
    <w:rsid w:val="00C2329F"/>
    <w:rsid w:val="00C34D22"/>
    <w:rsid w:val="00C5132F"/>
    <w:rsid w:val="00C633C5"/>
    <w:rsid w:val="00C70BF4"/>
    <w:rsid w:val="00C72E6B"/>
    <w:rsid w:val="00C77B1B"/>
    <w:rsid w:val="00CA4C9B"/>
    <w:rsid w:val="00CA6499"/>
    <w:rsid w:val="00CB55F9"/>
    <w:rsid w:val="00CC100A"/>
    <w:rsid w:val="00CD003F"/>
    <w:rsid w:val="00CD3DB3"/>
    <w:rsid w:val="00CE69AE"/>
    <w:rsid w:val="00CF1DC9"/>
    <w:rsid w:val="00CF27AF"/>
    <w:rsid w:val="00D17A6B"/>
    <w:rsid w:val="00D268FE"/>
    <w:rsid w:val="00D36147"/>
    <w:rsid w:val="00D36890"/>
    <w:rsid w:val="00D43070"/>
    <w:rsid w:val="00D5666C"/>
    <w:rsid w:val="00D86FC0"/>
    <w:rsid w:val="00D95F4F"/>
    <w:rsid w:val="00DA0B29"/>
    <w:rsid w:val="00DA40A6"/>
    <w:rsid w:val="00DD7779"/>
    <w:rsid w:val="00DF0F2C"/>
    <w:rsid w:val="00DF6565"/>
    <w:rsid w:val="00E06084"/>
    <w:rsid w:val="00E16819"/>
    <w:rsid w:val="00E35464"/>
    <w:rsid w:val="00E41C5E"/>
    <w:rsid w:val="00E435B1"/>
    <w:rsid w:val="00E44E26"/>
    <w:rsid w:val="00E5315D"/>
    <w:rsid w:val="00E60AC7"/>
    <w:rsid w:val="00E8007B"/>
    <w:rsid w:val="00EB039D"/>
    <w:rsid w:val="00EB4F27"/>
    <w:rsid w:val="00EC177C"/>
    <w:rsid w:val="00EC209F"/>
    <w:rsid w:val="00EE4AF6"/>
    <w:rsid w:val="00EE5541"/>
    <w:rsid w:val="00EF0512"/>
    <w:rsid w:val="00EF2F3E"/>
    <w:rsid w:val="00EF346C"/>
    <w:rsid w:val="00F05874"/>
    <w:rsid w:val="00F160D4"/>
    <w:rsid w:val="00F40377"/>
    <w:rsid w:val="00F47D0A"/>
    <w:rsid w:val="00F52045"/>
    <w:rsid w:val="00F54ED5"/>
    <w:rsid w:val="00F7270B"/>
    <w:rsid w:val="00F7431F"/>
    <w:rsid w:val="00F86015"/>
    <w:rsid w:val="00FA201D"/>
    <w:rsid w:val="00FA5F5F"/>
    <w:rsid w:val="00FC3B5A"/>
    <w:rsid w:val="00FC4BE6"/>
    <w:rsid w:val="00FC4E09"/>
    <w:rsid w:val="00FC57AF"/>
    <w:rsid w:val="00FD4F70"/>
    <w:rsid w:val="00FE6E5A"/>
    <w:rsid w:val="00FF0B34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76B15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37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33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qFormat/>
    <w:rsid w:val="00732E69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link w:val="a8"/>
    <w:uiPriority w:val="99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40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0C7B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90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E32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5631C1"/>
    <w:rPr>
      <w:rFonts w:eastAsiaTheme="minorEastAsia"/>
      <w:lang w:eastAsia="ru-RU"/>
    </w:rPr>
  </w:style>
  <w:style w:type="character" w:customStyle="1" w:styleId="80">
    <w:name w:val="Заголовок 8 Знак"/>
    <w:basedOn w:val="a0"/>
    <w:link w:val="8"/>
    <w:rsid w:val="00732E6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99"/>
    <w:locked/>
    <w:rsid w:val="00F52045"/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5337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9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D:\content\act\e3582471-b8b8-4d69-b4c4-3df3f904eea0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D:\content\act\391a2981-b1dd-4ce7-a917-5c6ae3b0d4aa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5EE10-CEF3-43C4-9BA2-BF491749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Экономист</cp:lastModifiedBy>
  <cp:revision>8</cp:revision>
  <cp:lastPrinted>2021-08-30T09:23:00Z</cp:lastPrinted>
  <dcterms:created xsi:type="dcterms:W3CDTF">2021-08-27T11:00:00Z</dcterms:created>
  <dcterms:modified xsi:type="dcterms:W3CDTF">2021-10-11T11:09:00Z</dcterms:modified>
</cp:coreProperties>
</file>