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1E3899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47FB">
        <w:rPr>
          <w:rFonts w:ascii="Times New Roman" w:hAnsi="Times New Roman" w:cs="Times New Roman"/>
          <w:sz w:val="26"/>
          <w:szCs w:val="26"/>
        </w:rPr>
        <w:t xml:space="preserve">т </w:t>
      </w:r>
      <w:r w:rsidR="00257F27">
        <w:rPr>
          <w:rFonts w:ascii="Times New Roman" w:hAnsi="Times New Roman" w:cs="Times New Roman"/>
          <w:sz w:val="26"/>
          <w:szCs w:val="26"/>
        </w:rPr>
        <w:t>24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 w:rsidR="00257F27">
        <w:rPr>
          <w:rFonts w:ascii="Times New Roman" w:hAnsi="Times New Roman" w:cs="Times New Roman"/>
          <w:sz w:val="26"/>
          <w:szCs w:val="26"/>
        </w:rPr>
        <w:t>12</w:t>
      </w:r>
      <w:r w:rsidR="00F10550" w:rsidRPr="00E22037">
        <w:rPr>
          <w:rFonts w:ascii="Times New Roman" w:hAnsi="Times New Roman" w:cs="Times New Roman"/>
          <w:sz w:val="26"/>
          <w:szCs w:val="26"/>
        </w:rPr>
        <w:t>.201</w:t>
      </w:r>
      <w:r w:rsidR="00E22037" w:rsidRPr="00E22037">
        <w:rPr>
          <w:rFonts w:ascii="Times New Roman" w:hAnsi="Times New Roman" w:cs="Times New Roman"/>
          <w:sz w:val="26"/>
          <w:szCs w:val="26"/>
        </w:rPr>
        <w:t>5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5947F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3D4F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257F27">
        <w:rPr>
          <w:rFonts w:ascii="Times New Roman" w:hAnsi="Times New Roman" w:cs="Times New Roman"/>
          <w:sz w:val="26"/>
          <w:szCs w:val="26"/>
        </w:rPr>
        <w:t>175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876718" w:rsidRDefault="00F10550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6718">
        <w:rPr>
          <w:rFonts w:ascii="Times New Roman" w:hAnsi="Times New Roman" w:cs="Times New Roman"/>
          <w:sz w:val="26"/>
          <w:szCs w:val="26"/>
        </w:rPr>
        <w:t>П</w:t>
      </w:r>
      <w:r w:rsidR="00876718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87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876718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876718" w:rsidRDefault="00876718" w:rsidP="007E5D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234AB1" w:rsidRPr="007E5D65">
        <w:rPr>
          <w:rFonts w:ascii="Times New Roman" w:hAnsi="Times New Roman" w:cs="Times New Roman"/>
          <w:sz w:val="26"/>
          <w:szCs w:val="26"/>
        </w:rPr>
        <w:t>№</w:t>
      </w:r>
      <w:r w:rsidR="007E5D65" w:rsidRPr="007E5D65">
        <w:rPr>
          <w:rFonts w:ascii="Times New Roman" w:hAnsi="Times New Roman" w:cs="Times New Roman"/>
          <w:sz w:val="26"/>
          <w:szCs w:val="26"/>
        </w:rPr>
        <w:t xml:space="preserve"> </w:t>
      </w:r>
      <w:r w:rsidR="00234AB1" w:rsidRPr="007E5D65">
        <w:rPr>
          <w:rFonts w:ascii="Times New Roman" w:hAnsi="Times New Roman" w:cs="Times New Roman"/>
          <w:sz w:val="26"/>
          <w:szCs w:val="26"/>
        </w:rPr>
        <w:t xml:space="preserve">58 от 26.12.2013 </w:t>
      </w:r>
      <w:r w:rsidR="007E5D65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76718" w:rsidRDefault="00876718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4AB1" w:rsidRPr="007E5D65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550" w:rsidRPr="007E5D65">
        <w:rPr>
          <w:rFonts w:ascii="Times New Roman" w:hAnsi="Times New Roman" w:cs="Times New Roman"/>
          <w:sz w:val="26"/>
          <w:szCs w:val="26"/>
        </w:rPr>
        <w:t>муниципальн</w:t>
      </w:r>
      <w:r w:rsidR="00234AB1" w:rsidRPr="007E5D65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F10550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программ</w:t>
      </w:r>
      <w:r w:rsidR="00234AB1" w:rsidRPr="007E5D65">
        <w:rPr>
          <w:rFonts w:ascii="Times New Roman" w:hAnsi="Times New Roman" w:cs="Times New Roman"/>
          <w:sz w:val="26"/>
          <w:szCs w:val="26"/>
        </w:rPr>
        <w:t>ы</w:t>
      </w:r>
      <w:r w:rsidR="007D3D4F" w:rsidRPr="007E5D65">
        <w:rPr>
          <w:rFonts w:ascii="Times New Roman" w:hAnsi="Times New Roman" w:cs="Times New Roman"/>
          <w:sz w:val="26"/>
          <w:szCs w:val="26"/>
        </w:rPr>
        <w:t xml:space="preserve"> «Развитие </w:t>
      </w:r>
      <w:proofErr w:type="gramStart"/>
      <w:r w:rsidR="007D3D4F" w:rsidRPr="007E5D65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D4F" w:rsidRPr="007E5D65" w:rsidRDefault="007D3D4F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комплекса и повышение </w:t>
      </w:r>
      <w:proofErr w:type="gramStart"/>
      <w:r w:rsidRPr="007E5D65">
        <w:rPr>
          <w:rFonts w:ascii="Times New Roman" w:hAnsi="Times New Roman" w:cs="Times New Roman"/>
          <w:sz w:val="26"/>
          <w:szCs w:val="26"/>
        </w:rPr>
        <w:t>энергетической</w:t>
      </w:r>
      <w:proofErr w:type="gramEnd"/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эффективности в сельском поселении </w:t>
      </w:r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Хулимсунт на 2014-2020 годы»</w:t>
      </w:r>
    </w:p>
    <w:p w:rsidR="007D3D4F" w:rsidRPr="00546D52" w:rsidRDefault="007D3D4F" w:rsidP="007D3D4F">
      <w:pPr>
        <w:pStyle w:val="ConsPlusTitle"/>
        <w:widowControl/>
        <w:rPr>
          <w:sz w:val="26"/>
          <w:szCs w:val="26"/>
        </w:rPr>
      </w:pPr>
    </w:p>
    <w:p w:rsidR="001265B4" w:rsidRDefault="007D3D4F" w:rsidP="001265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</w:t>
      </w:r>
      <w:r w:rsidR="001265B4">
        <w:rPr>
          <w:rFonts w:ascii="Times New Roman" w:hAnsi="Times New Roman"/>
          <w:sz w:val="26"/>
          <w:szCs w:val="26"/>
        </w:rPr>
        <w:t>Распоряжением администрации сельского поселения Хулимсунт от 18.11.2013 года</w:t>
      </w:r>
    </w:p>
    <w:p w:rsidR="001265B4" w:rsidRDefault="001265B4" w:rsidP="001265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78-р «О разработке проектов муниципальных программ»:</w:t>
      </w:r>
    </w:p>
    <w:p w:rsidR="007E5D65" w:rsidRDefault="00F10550" w:rsidP="0085425D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5D6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0742A" w:rsidRDefault="00876718" w:rsidP="00A0742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 xml:space="preserve">1. </w:t>
      </w:r>
      <w:r w:rsidR="00A0742A">
        <w:rPr>
          <w:rFonts w:ascii="Times New Roman" w:hAnsi="Times New Roman" w:cs="Times New Roman"/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606D0C" w:rsidRPr="00606D0C" w:rsidRDefault="00606D0C" w:rsidP="00606D0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7E5D65" w:rsidRDefault="00E22037" w:rsidP="00876718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E5D65" w:rsidRPr="007E5D65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5322F5">
        <w:rPr>
          <w:rFonts w:ascii="Times New Roman" w:hAnsi="Times New Roman"/>
          <w:sz w:val="26"/>
          <w:szCs w:val="26"/>
        </w:rPr>
        <w:t>18</w:t>
      </w:r>
      <w:r w:rsidR="007E5D65" w:rsidRPr="007E5D65">
        <w:rPr>
          <w:rFonts w:ascii="Times New Roman" w:hAnsi="Times New Roman"/>
          <w:sz w:val="26"/>
          <w:szCs w:val="26"/>
        </w:rPr>
        <w:t>.1</w:t>
      </w:r>
      <w:r w:rsidR="005322F5">
        <w:rPr>
          <w:rFonts w:ascii="Times New Roman" w:hAnsi="Times New Roman"/>
          <w:sz w:val="26"/>
          <w:szCs w:val="26"/>
        </w:rPr>
        <w:t>1</w:t>
      </w:r>
      <w:r w:rsidR="007E5D65" w:rsidRPr="007E5D65">
        <w:rPr>
          <w:rFonts w:ascii="Times New Roman" w:hAnsi="Times New Roman"/>
          <w:sz w:val="26"/>
          <w:szCs w:val="26"/>
        </w:rPr>
        <w:t>.201</w:t>
      </w:r>
      <w:r w:rsidR="005322F5">
        <w:rPr>
          <w:rFonts w:ascii="Times New Roman" w:hAnsi="Times New Roman"/>
          <w:sz w:val="26"/>
          <w:szCs w:val="26"/>
        </w:rPr>
        <w:t>5</w:t>
      </w:r>
      <w:r w:rsidR="007E5D65" w:rsidRPr="007E5D65">
        <w:rPr>
          <w:rFonts w:ascii="Times New Roman" w:hAnsi="Times New Roman"/>
          <w:sz w:val="26"/>
          <w:szCs w:val="26"/>
        </w:rPr>
        <w:t xml:space="preserve"> года № </w:t>
      </w:r>
      <w:r w:rsidR="005322F5">
        <w:rPr>
          <w:rFonts w:ascii="Times New Roman" w:hAnsi="Times New Roman"/>
          <w:sz w:val="26"/>
          <w:szCs w:val="26"/>
        </w:rPr>
        <w:t>118</w:t>
      </w:r>
      <w:r w:rsidR="007E5D65" w:rsidRPr="007E5D6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58 «Об утверждении муниципальной программы «Развитие жилищно</w:t>
      </w:r>
      <w:r w:rsidR="009C45B7">
        <w:rPr>
          <w:rFonts w:ascii="Times New Roman" w:hAnsi="Times New Roman"/>
          <w:sz w:val="26"/>
          <w:szCs w:val="26"/>
        </w:rPr>
        <w:t>-</w:t>
      </w:r>
      <w:r w:rsidR="007E5D65" w:rsidRPr="007E5D65">
        <w:rPr>
          <w:rFonts w:ascii="Times New Roman" w:hAnsi="Times New Roman"/>
          <w:sz w:val="26"/>
          <w:szCs w:val="26"/>
        </w:rPr>
        <w:t>коммунального комплекса и повышение энергетической эффективности в сельском поселении Хулимсунт на 2014 – 2020 годы» считать утратившими силу.</w:t>
      </w:r>
    </w:p>
    <w:p w:rsidR="00606D0C" w:rsidRPr="00606D0C" w:rsidRDefault="00606D0C" w:rsidP="00876718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/>
          <w:sz w:val="8"/>
          <w:szCs w:val="8"/>
        </w:rPr>
      </w:pPr>
    </w:p>
    <w:p w:rsidR="007E5D65" w:rsidRDefault="007E5D65" w:rsidP="007E5D65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D3D4F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7D3D4F"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7D3D4F"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D4F"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7D3D4F"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606D0C" w:rsidRPr="00606D0C" w:rsidRDefault="00606D0C" w:rsidP="007E5D65">
      <w:pPr>
        <w:pStyle w:val="a3"/>
        <w:tabs>
          <w:tab w:val="left" w:pos="567"/>
          <w:tab w:val="left" w:pos="9355"/>
        </w:tabs>
        <w:ind w:right="-1"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876718" w:rsidRDefault="00876718" w:rsidP="0087671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671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767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7671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06D0C" w:rsidRPr="00876718" w:rsidRDefault="00606D0C" w:rsidP="00876718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5D65" w:rsidRDefault="007E5D65" w:rsidP="007E5D65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767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87671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F1055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D3D4F" w:rsidRPr="00546D52">
        <w:rPr>
          <w:sz w:val="26"/>
          <w:szCs w:val="26"/>
        </w:rPr>
        <w:t xml:space="preserve"> поселения </w:t>
      </w:r>
      <w:r w:rsidR="007D3D4F" w:rsidRPr="00546D52">
        <w:rPr>
          <w:sz w:val="26"/>
          <w:szCs w:val="26"/>
        </w:rPr>
        <w:tab/>
      </w:r>
      <w:r w:rsidR="007D3D4F" w:rsidRPr="00546D52">
        <w:rPr>
          <w:sz w:val="26"/>
          <w:szCs w:val="26"/>
        </w:rPr>
        <w:tab/>
      </w:r>
      <w:r w:rsidR="007D3D4F" w:rsidRPr="00546D52">
        <w:rPr>
          <w:sz w:val="26"/>
          <w:szCs w:val="26"/>
        </w:rPr>
        <w:tab/>
      </w:r>
      <w:r w:rsidR="007D3D4F" w:rsidRPr="00546D52">
        <w:rPr>
          <w:sz w:val="26"/>
          <w:szCs w:val="26"/>
        </w:rPr>
        <w:tab/>
        <w:t xml:space="preserve">               </w:t>
      </w:r>
      <w:r w:rsidR="007D3D4F">
        <w:rPr>
          <w:sz w:val="26"/>
          <w:szCs w:val="26"/>
        </w:rPr>
        <w:t xml:space="preserve">   </w:t>
      </w:r>
    </w:p>
    <w:p w:rsidR="00F10550" w:rsidRDefault="007E5D65" w:rsidP="009F250F">
      <w:pPr>
        <w:pStyle w:val="ConsPlusNormal"/>
        <w:widowControl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671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сельского поселения                                                        </w:t>
      </w:r>
      <w:r w:rsidR="0087671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О.В.Баранова</w:t>
      </w:r>
    </w:p>
    <w:p w:rsidR="005322F5" w:rsidRPr="00876718" w:rsidRDefault="005322F5" w:rsidP="008767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C90" w:rsidRDefault="00E75C9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06D0C" w:rsidRDefault="00606D0C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3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7F27">
        <w:rPr>
          <w:rFonts w:ascii="Times New Roman" w:hAnsi="Times New Roman" w:cs="Times New Roman"/>
          <w:sz w:val="24"/>
          <w:szCs w:val="24"/>
        </w:rPr>
        <w:t>24</w:t>
      </w:r>
      <w:r w:rsidR="0060751F">
        <w:rPr>
          <w:rFonts w:ascii="Times New Roman" w:hAnsi="Times New Roman" w:cs="Times New Roman"/>
          <w:sz w:val="24"/>
          <w:szCs w:val="24"/>
        </w:rPr>
        <w:t>.</w:t>
      </w:r>
      <w:r w:rsidR="00257F27">
        <w:rPr>
          <w:rFonts w:ascii="Times New Roman" w:hAnsi="Times New Roman" w:cs="Times New Roman"/>
          <w:sz w:val="24"/>
          <w:szCs w:val="24"/>
        </w:rPr>
        <w:t>12</w:t>
      </w:r>
      <w:r w:rsidR="00F10550">
        <w:rPr>
          <w:rFonts w:ascii="Times New Roman" w:hAnsi="Times New Roman" w:cs="Times New Roman"/>
          <w:sz w:val="24"/>
          <w:szCs w:val="24"/>
        </w:rPr>
        <w:t>.201</w:t>
      </w:r>
      <w:r w:rsidR="00E220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57F27">
        <w:rPr>
          <w:rFonts w:ascii="Times New Roman" w:hAnsi="Times New Roman" w:cs="Times New Roman"/>
          <w:sz w:val="24"/>
          <w:szCs w:val="24"/>
        </w:rPr>
        <w:t>175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322F5" w:rsidRDefault="005322F5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CA5FAD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4"/>
      </w:tblGrid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ческой эффективности в сельском поселении Хулимсунт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на 2014-2020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4" w:rsidRPr="00FA3647" w:rsidRDefault="001265B4" w:rsidP="001265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647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 w:rsidR="00FA3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647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6A36F0" w:rsidRPr="00FA3647" w:rsidRDefault="006A36F0" w:rsidP="0085425D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сельского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Хулимсунт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6308B7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ресурсов;</w:t>
            </w:r>
          </w:p>
          <w:p w:rsidR="006A36F0" w:rsidRPr="00283FB0" w:rsidRDefault="006A36F0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6A36F0" w:rsidRDefault="00071485" w:rsidP="00071485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4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1485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энергетической эффективности в жилищной сфере</w:t>
            </w:r>
            <w:r w:rsidRPr="00071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485" w:rsidRPr="00071485" w:rsidRDefault="00071485" w:rsidP="00071485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48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по исполнению муниципальной программы</w:t>
            </w:r>
            <w:r w:rsidRPr="00071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477BD4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7C" w:rsidRDefault="00C1367C" w:rsidP="00C13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24,2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C1367C" w:rsidRDefault="00C1367C" w:rsidP="00C1367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уличных тепловых сетей,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23,3 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20,3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2014-20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3E4355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  качественными коммунальными услугами</w:t>
            </w:r>
            <w:r w:rsidR="00071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283FB0" w:rsidRDefault="003E4355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капитального ремонта многоквартирных домов</w:t>
            </w:r>
            <w:r w:rsidR="00071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Default="003E4355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440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87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r w:rsidR="00FA658F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FA658F">
              <w:rPr>
                <w:rFonts w:ascii="Times New Roman" w:hAnsi="Times New Roman" w:cs="Times New Roman"/>
                <w:sz w:val="28"/>
                <w:szCs w:val="28"/>
              </w:rPr>
              <w:t xml:space="preserve"> в отраслях экономики»</w:t>
            </w:r>
            <w:r w:rsidR="00477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283FB0" w:rsidRDefault="009C45B7" w:rsidP="004401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40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58F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государственной программы»</w:t>
            </w:r>
            <w:r w:rsidR="00477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067373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8A0EC5" w:rsidP="008A0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2014-2020 годы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="006A36F0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 xml:space="preserve">  </w:t>
            </w:r>
            <w:r w:rsidR="00B94013" w:rsidRPr="00B9401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1 </w:t>
            </w:r>
            <w:r w:rsidR="00AC5AA1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754</w:t>
            </w:r>
            <w:r w:rsidR="00B94013" w:rsidRPr="00B9401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</w:t>
            </w:r>
            <w:r w:rsidR="00AC5AA1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</w:t>
            </w:r>
            <w:r w:rsidR="006A36F0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 xml:space="preserve">     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</w:t>
            </w:r>
            <w:r w:rsidR="00B0240F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6A36F0" w:rsidRPr="008A0EC5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</w:t>
            </w: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год – </w:t>
            </w:r>
            <w:r w:rsidR="00F1055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924,3</w:t>
            </w: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6A36F0" w:rsidRPr="008A0EC5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2015 год – </w:t>
            </w:r>
            <w:r w:rsidR="001E3899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287,7</w:t>
            </w: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6A36F0" w:rsidRPr="008A0EC5" w:rsidRDefault="00614A2F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-  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15</w:t>
            </w: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,0</w:t>
            </w:r>
            <w:r w:rsidR="006A36F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6A36F0" w:rsidRPr="008A0EC5" w:rsidRDefault="001E3899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-  </w:t>
            </w:r>
            <w:r w:rsidR="00AC5AA1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6,0</w:t>
            </w:r>
            <w:r w:rsidR="006A36F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6A36F0" w:rsidRPr="008A0EC5" w:rsidRDefault="001E3899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</w:t>
            </w:r>
            <w:r w:rsidR="007F7FBF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140,5</w:t>
            </w:r>
            <w:r w:rsidR="006A36F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CA5FAD" w:rsidRPr="008A0EC5" w:rsidRDefault="001E3899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2019 год -  </w:t>
            </w:r>
            <w:r w:rsidR="007F7FBF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140,5 </w:t>
            </w:r>
            <w:r w:rsidR="00CA5FAD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CA5FAD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</w:t>
            </w:r>
          </w:p>
          <w:p w:rsidR="00CA5FAD" w:rsidRPr="008A0EC5" w:rsidRDefault="001E3899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2020 год -  </w:t>
            </w:r>
            <w:r w:rsidR="007F7FBF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240,5</w:t>
            </w:r>
            <w:r w:rsidR="00CA5FAD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тыс.</w:t>
            </w:r>
            <w:r w:rsidR="00B0240F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CA5FAD" w:rsidRPr="008A0EC5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рублей.</w:t>
            </w:r>
          </w:p>
          <w:p w:rsidR="008A0EC5" w:rsidRDefault="008A0EC5" w:rsidP="008A0EC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автономного округа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2014-2020 годы составит </w:t>
            </w:r>
            <w:r w:rsidR="00AC5AA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 xml:space="preserve">5,9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  <w:r>
              <w:rPr>
                <w:b/>
              </w:rPr>
              <w:t xml:space="preserve"> 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году – 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году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7F7FB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8A0EC5" w:rsidRPr="008A0EC5" w:rsidRDefault="008A0EC5" w:rsidP="008A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C5"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A0EC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7F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7F7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8A0EC5" w:rsidRDefault="008A0EC5" w:rsidP="008A0EC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2014-2020 годы составит 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AA1">
              <w:rPr>
                <w:rFonts w:ascii="Times New Roman" w:hAnsi="Times New Roman" w:cs="Times New Roman"/>
                <w:sz w:val="28"/>
                <w:szCs w:val="28"/>
              </w:rPr>
              <w:t> 228,6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  <w:r>
              <w:rPr>
                <w:b/>
              </w:rPr>
              <w:t xml:space="preserve"> 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году – 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году – </w:t>
            </w:r>
            <w:r w:rsidR="006324F4">
              <w:rPr>
                <w:rFonts w:ascii="Times New Roman" w:hAnsi="Times New Roman" w:cs="Times New Roman"/>
                <w:bCs/>
                <w:sz w:val="28"/>
                <w:szCs w:val="28"/>
              </w:rPr>
              <w:t>287,7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6324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EC5" w:rsidRDefault="008A0EC5" w:rsidP="008A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AC5AA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EC5" w:rsidRDefault="008A0EC5" w:rsidP="008A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C5"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7F7FBF">
              <w:rPr>
                <w:rFonts w:ascii="Times New Roman" w:hAnsi="Times New Roman" w:cs="Times New Roman"/>
                <w:sz w:val="28"/>
                <w:szCs w:val="28"/>
              </w:rPr>
              <w:t xml:space="preserve"> 50,5</w:t>
            </w:r>
            <w:r w:rsidRPr="008A0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EC5" w:rsidRDefault="008A0EC5" w:rsidP="008A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7F7FB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EC5" w:rsidRPr="008A0EC5" w:rsidRDefault="008A0EC5" w:rsidP="007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EC5"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7F7FBF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  <w:r w:rsidRPr="008A0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A36F0" w:rsidRPr="00283FB0" w:rsidTr="000673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 xml:space="preserve">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C1367C" w:rsidRDefault="00C1367C" w:rsidP="00477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1367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числа аварий, отказов и </w:t>
            </w:r>
            <w:r w:rsidRPr="00C13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повреждений до 10% по отношению к числу аварий в  год начала действия данной программы  </w:t>
            </w:r>
          </w:p>
        </w:tc>
      </w:tr>
    </w:tbl>
    <w:p w:rsidR="00DE022C" w:rsidRDefault="00845F24" w:rsidP="00AC5AA1">
      <w:pPr>
        <w:tabs>
          <w:tab w:val="left" w:pos="6998"/>
        </w:tabs>
      </w:pPr>
      <w:r>
        <w:lastRenderedPageBreak/>
        <w:tab/>
      </w:r>
    </w:p>
    <w:p w:rsidR="00DE022C" w:rsidRDefault="00DE022C"/>
    <w:p w:rsidR="00845F24" w:rsidRDefault="00845F24"/>
    <w:p w:rsidR="00845F24" w:rsidRDefault="00845F24"/>
    <w:p w:rsidR="00401332" w:rsidRDefault="00401332"/>
    <w:p w:rsidR="00401332" w:rsidRDefault="00401332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A0EC5" w:rsidRDefault="008A0EC5"/>
    <w:p w:rsidR="00845F24" w:rsidRDefault="00845F24"/>
    <w:p w:rsidR="00AC5AA1" w:rsidRDefault="00AC5AA1"/>
    <w:p w:rsidR="00DE022C" w:rsidRPr="00845F24" w:rsidRDefault="00DE022C" w:rsidP="0084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сферы социально-экономического развития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Хулимсунт</w:t>
      </w:r>
      <w:r w:rsidRPr="00845F24">
        <w:rPr>
          <w:rFonts w:ascii="Times New Roman" w:hAnsi="Times New Roman" w:cs="Times New Roman"/>
          <w:b/>
          <w:sz w:val="28"/>
          <w:szCs w:val="28"/>
        </w:rPr>
        <w:t>.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F24" w:rsidRPr="00845F24" w:rsidRDefault="00845F24" w:rsidP="00845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45F24">
        <w:rPr>
          <w:rFonts w:ascii="Times New Roman" w:hAnsi="Times New Roman" w:cs="Times New Roman"/>
          <w:sz w:val="28"/>
          <w:szCs w:val="28"/>
        </w:rPr>
        <w:t>.</w:t>
      </w:r>
    </w:p>
    <w:p w:rsidR="00845F24" w:rsidRPr="00845F24" w:rsidRDefault="00845F24" w:rsidP="00845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F24">
        <w:rPr>
          <w:rFonts w:ascii="Times New Roman" w:hAnsi="Times New Roman" w:cs="Times New Roman"/>
          <w:sz w:val="28"/>
          <w:szCs w:val="28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 </w:t>
      </w:r>
      <w:proofErr w:type="gramEnd"/>
    </w:p>
    <w:p w:rsidR="00845F24" w:rsidRPr="00845F24" w:rsidRDefault="00845F24" w:rsidP="00845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централизованного водоснабжения в сельском поселении Хулимсунт составляет: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-  25 км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0,1 км</w:t>
      </w:r>
    </w:p>
    <w:p w:rsidR="00C46D13" w:rsidRPr="00283FB0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протяженность сетей водоснабжения 25,1 км.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Удельное водопотребление в среднем по</w:t>
      </w:r>
      <w:r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283FB0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ию Хулимсунт составляет примерно 200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C46D13" w:rsidRPr="00283FB0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Основным источником питьевого и хозяйственно-бытового водоснабжения являются подземные воды</w:t>
      </w:r>
      <w:r>
        <w:rPr>
          <w:rFonts w:ascii="Times New Roman" w:hAnsi="Times New Roman" w:cs="Times New Roman"/>
          <w:sz w:val="28"/>
          <w:szCs w:val="28"/>
        </w:rPr>
        <w:t xml:space="preserve">  -  75%.</w:t>
      </w:r>
    </w:p>
    <w:p w:rsidR="00C46D13" w:rsidRPr="00283FB0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  <w:proofErr w:type="gramEnd"/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 xml:space="preserve">Проектная мощность водопроводных очистных сооружений в поселении -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Эффективность водоподготовки, основанной, как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правило, на  традиционных технологиях, недостаточно высока и не обеспечивает нормальные содержания, в первую очередь железа и кремния в очищенной питьевой воде.</w:t>
      </w:r>
      <w:r w:rsidRPr="00283FB0">
        <w:rPr>
          <w:rFonts w:ascii="Times New Roman" w:hAnsi="Times New Roman" w:cs="Times New Roman"/>
          <w:sz w:val="28"/>
          <w:szCs w:val="28"/>
        </w:rPr>
        <w:t xml:space="preserve">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C46D13" w:rsidRPr="00720F91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пос. Хулимсунт имеется установка очистки питьевой воды </w:t>
      </w:r>
      <w:r w:rsidRPr="0072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Kanon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центрального водоотведения в сельском поселении Хулимсунт составляет   18, 5 км.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Хулимсунт функционируют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канализационно-очистные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сооружения суммарной производительностью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глубокой очисткой стоков. Сточные воды поступают на очистные сооружения через централизованную систему канализации. Работают в ненормальном режиме. Оборудование устарело, недостаточно мощностей.  Сосьвинским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FB0">
        <w:rPr>
          <w:rFonts w:ascii="Times New Roman" w:hAnsi="Times New Roman" w:cs="Times New Roman"/>
          <w:sz w:val="28"/>
          <w:szCs w:val="28"/>
        </w:rPr>
        <w:t>На 1 янва</w:t>
      </w:r>
      <w:r>
        <w:rPr>
          <w:rFonts w:ascii="Times New Roman" w:hAnsi="Times New Roman" w:cs="Times New Roman"/>
          <w:sz w:val="28"/>
          <w:szCs w:val="28"/>
        </w:rPr>
        <w:t>ря 2013 года в  сельском 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источниками теплоснабжения явля</w:t>
      </w:r>
      <w:r>
        <w:rPr>
          <w:rFonts w:ascii="Times New Roman" w:hAnsi="Times New Roman" w:cs="Times New Roman"/>
          <w:sz w:val="28"/>
          <w:szCs w:val="28"/>
        </w:rPr>
        <w:t>ются  котельные установки: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-  7 котельных установок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2 котельных установки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Протяженность сетей централизованного теплоснабжения составляет: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 -  21 км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0,46 км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протяженность тепловых сетей  составляет 21,46 км.</w:t>
      </w:r>
    </w:p>
    <w:p w:rsidR="00C46D13" w:rsidRPr="00283FB0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ежегодно производятся работы по замене ветх</w:t>
      </w:r>
      <w:r>
        <w:rPr>
          <w:rFonts w:ascii="Times New Roman" w:hAnsi="Times New Roman" w:cs="Times New Roman"/>
          <w:sz w:val="28"/>
          <w:szCs w:val="28"/>
        </w:rPr>
        <w:t>их сетей тепло- и водоснабжения и работы по подготовке к осенне-зимнему периоду.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Хулимсунт находится в зоне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децентрализованного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электроснажбения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– 6 газотурбинных электростанций «Урал-2500»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дизель-генератора</w:t>
      </w:r>
      <w:proofErr w:type="spellEnd"/>
      <w:proofErr w:type="gramEnd"/>
    </w:p>
    <w:p w:rsidR="00C46D13" w:rsidRDefault="00C46D13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Протяженность линий электропередач по состоянию на 01.01. 2013 года составляет  10,5 км.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Протяженность уличной газовой сети в сельском поселении Хулимсунт составляет: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– 6105, 15 км, из них муниципальные сети 2881, 15 км.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Жилищный фонд сельского  поселения Хулимсунт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1 я</w:t>
      </w:r>
      <w:r>
        <w:rPr>
          <w:rFonts w:ascii="Times New Roman" w:hAnsi="Times New Roman" w:cs="Times New Roman"/>
          <w:sz w:val="28"/>
          <w:szCs w:val="28"/>
        </w:rPr>
        <w:t xml:space="preserve">нваря 2013 года составил 29879 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кв. м общей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283FB0">
        <w:rPr>
          <w:rFonts w:ascii="Times New Roman" w:hAnsi="Times New Roman" w:cs="Times New Roman"/>
          <w:sz w:val="28"/>
          <w:szCs w:val="28"/>
        </w:rPr>
        <w:t xml:space="preserve"> из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D13" w:rsidRDefault="00C46D13" w:rsidP="00C4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Сосьвинское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ЛПУ МГ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- 22555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FB0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жилищный фонд насчитывает 7324 кв. м из которых 847 кв. м жилфонд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843"/>
      </w:tblGrid>
      <w:tr w:rsidR="00C46D13" w:rsidRPr="00792249" w:rsidTr="009818CC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13" w:rsidRPr="00792249" w:rsidRDefault="00C46D13" w:rsidP="0098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Степень износа жилого фонда, %                                                                   </w:t>
            </w:r>
          </w:p>
          <w:p w:rsidR="00C46D13" w:rsidRPr="00792249" w:rsidRDefault="00C46D13" w:rsidP="0098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C46D13" w:rsidRPr="00792249" w:rsidRDefault="00C46D13" w:rsidP="0098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C46D13" w:rsidRPr="00792249" w:rsidRDefault="00C46D13" w:rsidP="0098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13" w:rsidRDefault="00C46D13" w:rsidP="0098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D13" w:rsidRDefault="00C46D13" w:rsidP="0098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76,2</w:t>
            </w:r>
          </w:p>
          <w:p w:rsidR="00C46D13" w:rsidRPr="00792249" w:rsidRDefault="00C46D13" w:rsidP="0098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23,8</w:t>
            </w:r>
          </w:p>
          <w:p w:rsidR="00C46D13" w:rsidRPr="00792249" w:rsidRDefault="00C46D13" w:rsidP="0098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901FC" w:rsidRDefault="005901FC" w:rsidP="00C46D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FC" w:rsidRDefault="005901FC" w:rsidP="005901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5A">
        <w:rPr>
          <w:rFonts w:ascii="Times New Roman" w:eastAsia="Calibri" w:hAnsi="Times New Roman" w:cs="Times New Roman"/>
          <w:sz w:val="28"/>
          <w:szCs w:val="28"/>
        </w:rPr>
        <w:t xml:space="preserve">Содержанием и обслуживанием  многоквартирных домов в </w:t>
      </w:r>
      <w:r>
        <w:rPr>
          <w:rFonts w:ascii="Times New Roman" w:hAnsi="Times New Roman"/>
          <w:sz w:val="28"/>
          <w:szCs w:val="28"/>
        </w:rPr>
        <w:t xml:space="preserve">сельском поселении Хулимсунт </w:t>
      </w:r>
      <w:r w:rsidRPr="00E15D5A">
        <w:rPr>
          <w:rFonts w:ascii="Times New Roman" w:eastAsia="Calibri" w:hAnsi="Times New Roman" w:cs="Times New Roman"/>
          <w:sz w:val="28"/>
          <w:szCs w:val="28"/>
        </w:rPr>
        <w:t xml:space="preserve">занимается </w:t>
      </w:r>
      <w:r w:rsidRPr="00B0240F">
        <w:rPr>
          <w:rFonts w:ascii="Times New Roman" w:hAnsi="Times New Roman" w:cs="Times New Roman"/>
          <w:sz w:val="28"/>
          <w:szCs w:val="28"/>
        </w:rPr>
        <w:t>ООО «Коммерческая фирма» 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F24" w:rsidRPr="00845F24" w:rsidRDefault="00845F24" w:rsidP="005901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ой из проблем</w:t>
      </w:r>
      <w:r w:rsidRPr="00845F24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 является  благоустройство дворовых территорий многоквартирных домов.</w:t>
      </w:r>
    </w:p>
    <w:p w:rsidR="00845F24" w:rsidRPr="00845F24" w:rsidRDefault="00845F24" w:rsidP="0084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Таким образом, анализ современного состояния в жилищно-коммунальной сфере показывает, что: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коммунальный сектор, несмотря на все усилия по реформированию, пока не стал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- привлекательным сектором экономики для частного бизнеса;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845F24" w:rsidRPr="00845F24" w:rsidRDefault="00845F24" w:rsidP="0084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 связи с этим органы местного самоуправления должны сосредоточить усилия на решении  задачи муниципальной программы.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жилых зданий.</w:t>
      </w:r>
    </w:p>
    <w:p w:rsidR="00845F24" w:rsidRPr="00845F24" w:rsidRDefault="00845F24" w:rsidP="0084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845F24" w:rsidRPr="00845F24" w:rsidRDefault="00845F24" w:rsidP="0084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845F24" w:rsidRPr="00845F24" w:rsidRDefault="00845F24" w:rsidP="00845F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45F24">
        <w:rPr>
          <w:rFonts w:ascii="Times New Roman" w:hAnsi="Times New Roman" w:cs="Times New Roman"/>
          <w:sz w:val="28"/>
          <w:szCs w:val="28"/>
        </w:rPr>
        <w:t>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8A0EC5" w:rsidRPr="008A0EC5" w:rsidRDefault="008A0EC5" w:rsidP="008A0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C5">
        <w:rPr>
          <w:rFonts w:ascii="Times New Roman" w:hAnsi="Times New Roman" w:cs="Times New Roman"/>
          <w:sz w:val="28"/>
          <w:szCs w:val="28"/>
        </w:rPr>
        <w:t>Муниципальная программа состоит из 4 подпрограмм:</w:t>
      </w:r>
    </w:p>
    <w:p w:rsidR="008A0EC5" w:rsidRPr="00283FB0" w:rsidRDefault="008A0EC5" w:rsidP="008A0EC5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116" w:history="1">
        <w:r w:rsidRPr="00283FB0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FB0">
        <w:rPr>
          <w:rFonts w:ascii="Times New Roman" w:hAnsi="Times New Roman" w:cs="Times New Roman"/>
          <w:sz w:val="28"/>
          <w:szCs w:val="28"/>
        </w:rPr>
        <w:t>Создание условий для обеспечения   качественными коммунальными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FB0">
        <w:rPr>
          <w:rFonts w:ascii="Times New Roman" w:hAnsi="Times New Roman" w:cs="Times New Roman"/>
          <w:sz w:val="28"/>
          <w:szCs w:val="28"/>
        </w:rPr>
        <w:t>;</w:t>
      </w:r>
    </w:p>
    <w:p w:rsidR="008A0EC5" w:rsidRPr="00283FB0" w:rsidRDefault="008A0EC5" w:rsidP="008A0EC5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191" w:history="1">
        <w:r w:rsidRPr="00283FB0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FB0">
        <w:rPr>
          <w:rFonts w:ascii="Times New Roman" w:hAnsi="Times New Roman" w:cs="Times New Roman"/>
          <w:sz w:val="28"/>
          <w:szCs w:val="28"/>
        </w:rPr>
        <w:t>Содействие проведению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FB0">
        <w:rPr>
          <w:rFonts w:ascii="Times New Roman" w:hAnsi="Times New Roman" w:cs="Times New Roman"/>
          <w:sz w:val="28"/>
          <w:szCs w:val="28"/>
        </w:rPr>
        <w:t>;</w:t>
      </w:r>
    </w:p>
    <w:p w:rsidR="008A0EC5" w:rsidRDefault="008A0EC5" w:rsidP="008A0EC5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316" w:history="1">
        <w:r w:rsidRPr="00283FB0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отраслях экономики»;</w:t>
      </w:r>
    </w:p>
    <w:p w:rsidR="00845F24" w:rsidRPr="00845F24" w:rsidRDefault="008A0EC5" w:rsidP="008A0EC5">
      <w:p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4 «Обеспечение реализации государственной программы».</w:t>
      </w:r>
    </w:p>
    <w:p w:rsidR="00845F24" w:rsidRDefault="00845F24" w:rsidP="00845F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их достижения.</w:t>
      </w:r>
    </w:p>
    <w:p w:rsidR="00845F24" w:rsidRPr="00845F24" w:rsidRDefault="00845F24" w:rsidP="00845F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24" w:rsidRDefault="00845F24" w:rsidP="0084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5F2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bookmarkStart w:id="0" w:name="sub_10141"/>
      <w:bookmarkStart w:id="1" w:name="sub_1084"/>
    </w:p>
    <w:p w:rsidR="00845F24" w:rsidRDefault="00845F24" w:rsidP="0084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повышение надежности и качества предоставления жилищно-коммунальных услуг; </w:t>
      </w:r>
    </w:p>
    <w:p w:rsidR="00845F24" w:rsidRPr="00283FB0" w:rsidRDefault="00845F24" w:rsidP="0084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обеспечение потребителей электрической энергии надежным и  качественным электроснабжением;</w:t>
      </w:r>
    </w:p>
    <w:p w:rsidR="00845F24" w:rsidRDefault="00845F24" w:rsidP="00845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реализация единой государственной политики и нормативно-правового регулирования в жилищно-коммунальном комплексе и 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F24" w:rsidRDefault="00845F24" w:rsidP="00845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ab/>
      </w:r>
      <w:r w:rsidRPr="00283FB0">
        <w:rPr>
          <w:rFonts w:ascii="Times New Roman" w:eastAsia="Calibri" w:hAnsi="Times New Roman" w:cs="Courier New"/>
          <w:sz w:val="28"/>
          <w:szCs w:val="28"/>
          <w:lang w:eastAsia="ru-RU"/>
        </w:rPr>
        <w:t>Задачи муниципальной программы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</w:p>
    <w:p w:rsidR="00845F24" w:rsidRDefault="00845F24" w:rsidP="00845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коммунальных ресурсов;</w:t>
      </w:r>
    </w:p>
    <w:p w:rsidR="00845F24" w:rsidRDefault="00845F24" w:rsidP="00845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 содержания общего имущества многоквартирных домов; </w:t>
      </w:r>
    </w:p>
    <w:p w:rsidR="00845F24" w:rsidRPr="00845F24" w:rsidRDefault="00845F24" w:rsidP="00845F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71485">
        <w:rPr>
          <w:rFonts w:ascii="Times New Roman" w:hAnsi="Times New Roman" w:cs="Times New Roman"/>
          <w:sz w:val="28"/>
          <w:szCs w:val="28"/>
        </w:rPr>
        <w:t>п</w:t>
      </w:r>
      <w:r w:rsidRPr="00071485">
        <w:rPr>
          <w:rFonts w:ascii="Times New Roman" w:eastAsia="Calibri" w:hAnsi="Times New Roman" w:cs="Times New Roman"/>
          <w:sz w:val="28"/>
          <w:szCs w:val="28"/>
        </w:rPr>
        <w:t>овышение энергетической эффективности в жилищной сфере</w:t>
      </w:r>
      <w:r w:rsidRPr="00071485">
        <w:rPr>
          <w:rFonts w:ascii="Times New Roman" w:hAnsi="Times New Roman" w:cs="Times New Roman"/>
          <w:sz w:val="28"/>
          <w:szCs w:val="28"/>
        </w:rPr>
        <w:t>;</w:t>
      </w:r>
    </w:p>
    <w:p w:rsidR="00845F24" w:rsidRDefault="00845F24" w:rsidP="00845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5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исполнению муниципальной программы</w:t>
      </w:r>
      <w:r w:rsidRPr="0007148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45F24" w:rsidRDefault="00845F24" w:rsidP="00845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2020 году должен сложиться качественно новый уровень состояния жилищно-коммунальной сферы, характеризуемый следующими целевыми ориентирами:</w:t>
      </w:r>
    </w:p>
    <w:p w:rsidR="00845F24" w:rsidRDefault="00845F24" w:rsidP="00845F24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снижение доли уличных водопроводных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 xml:space="preserve">нуждающихся в замене, с </w:t>
      </w:r>
      <w:r>
        <w:rPr>
          <w:rFonts w:ascii="Times New Roman" w:hAnsi="Times New Roman" w:cs="Times New Roman"/>
          <w:sz w:val="28"/>
          <w:szCs w:val="28"/>
        </w:rPr>
        <w:t xml:space="preserve">24,2 </w:t>
      </w:r>
      <w:r w:rsidRPr="00283FB0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 xml:space="preserve">20,5  </w:t>
      </w:r>
      <w:r w:rsidRPr="00540651">
        <w:rPr>
          <w:rFonts w:ascii="Times New Roman" w:hAnsi="Times New Roman" w:cs="Times New Roman"/>
          <w:sz w:val="28"/>
          <w:szCs w:val="28"/>
        </w:rPr>
        <w:t xml:space="preserve">% </w:t>
      </w:r>
      <w:r w:rsidRPr="00283FB0">
        <w:rPr>
          <w:rFonts w:ascii="Times New Roman" w:hAnsi="Times New Roman" w:cs="Times New Roman"/>
          <w:sz w:val="28"/>
          <w:szCs w:val="28"/>
        </w:rPr>
        <w:t>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45F24" w:rsidRPr="00845F24" w:rsidRDefault="00845F24" w:rsidP="00845F24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снижение доли уличных тепловых сетей, нуждающихся в замене, с </w:t>
      </w:r>
      <w:r>
        <w:rPr>
          <w:rFonts w:ascii="Times New Roman" w:hAnsi="Times New Roman" w:cs="Times New Roman"/>
          <w:sz w:val="28"/>
          <w:szCs w:val="28"/>
        </w:rPr>
        <w:t xml:space="preserve"> 23,3  </w:t>
      </w:r>
      <w:r w:rsidRPr="002D4B09">
        <w:rPr>
          <w:rFonts w:ascii="Times New Roman" w:hAnsi="Times New Roman" w:cs="Times New Roman"/>
          <w:sz w:val="28"/>
          <w:szCs w:val="28"/>
        </w:rPr>
        <w:t>%</w:t>
      </w:r>
      <w:r w:rsidRPr="00283FB0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 xml:space="preserve">  20,3 </w:t>
      </w:r>
      <w:r w:rsidRPr="002D4B09">
        <w:rPr>
          <w:rFonts w:ascii="Times New Roman" w:hAnsi="Times New Roman" w:cs="Times New Roman"/>
          <w:sz w:val="28"/>
          <w:szCs w:val="28"/>
        </w:rPr>
        <w:t>%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45F24" w:rsidRDefault="00845F24" w:rsidP="00B0240F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   </w:t>
      </w:r>
      <w:r w:rsidR="00B0240F">
        <w:rPr>
          <w:rFonts w:ascii="Times New Roman" w:hAnsi="Times New Roman" w:cs="Times New Roman"/>
          <w:sz w:val="28"/>
          <w:szCs w:val="28"/>
        </w:rPr>
        <w:t xml:space="preserve">     - с</w:t>
      </w:r>
      <w:r w:rsidR="00B0240F" w:rsidRPr="00C1367C">
        <w:rPr>
          <w:rFonts w:ascii="Times New Roman" w:hAnsi="Times New Roman" w:cs="Times New Roman"/>
          <w:sz w:val="28"/>
          <w:szCs w:val="28"/>
        </w:rPr>
        <w:t xml:space="preserve">окращение числа аварий, отказов и повреждений до 10% по отношению к числу аварий в  год начала действия данной программы  </w:t>
      </w:r>
    </w:p>
    <w:p w:rsidR="00B0240F" w:rsidRPr="00B0240F" w:rsidRDefault="00B0240F" w:rsidP="00B0240F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40F" w:rsidRDefault="00B0240F" w:rsidP="00B0240F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и описание программных мероприятий </w:t>
      </w:r>
    </w:p>
    <w:p w:rsidR="00B0240F" w:rsidRPr="00DE4918" w:rsidRDefault="00B0240F" w:rsidP="00B0240F">
      <w:pPr>
        <w:pStyle w:val="Default"/>
        <w:jc w:val="center"/>
        <w:rPr>
          <w:sz w:val="28"/>
          <w:szCs w:val="28"/>
        </w:rPr>
      </w:pPr>
    </w:p>
    <w:p w:rsidR="00B0240F" w:rsidRDefault="00B0240F" w:rsidP="00B0240F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lastRenderedPageBreak/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845F24" w:rsidRPr="00845F24" w:rsidRDefault="00845F24" w:rsidP="00845F24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5F24" w:rsidRPr="00B0240F" w:rsidRDefault="00845F24" w:rsidP="00B0240F">
      <w:pPr>
        <w:jc w:val="center"/>
        <w:rPr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>Раздел 4. Механизм реализации муниципальной программы</w:t>
      </w:r>
    </w:p>
    <w:p w:rsidR="00845F24" w:rsidRPr="00B0240F" w:rsidRDefault="00845F24" w:rsidP="00B02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4.1. Механизм реализации муниципальной программы основан на взаимодействии  органа местного самоуправления и хозяйствующего субъект</w:t>
      </w:r>
      <w:proofErr w:type="gramStart"/>
      <w:r w:rsidRPr="00845F24">
        <w:rPr>
          <w:rFonts w:ascii="Times New Roman" w:hAnsi="Times New Roman" w:cs="Times New Roman"/>
          <w:sz w:val="28"/>
          <w:szCs w:val="28"/>
        </w:rPr>
        <w:t xml:space="preserve">а </w:t>
      </w:r>
      <w:r w:rsidR="00B0240F" w:rsidRPr="00B0240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0240F" w:rsidRPr="00B0240F">
        <w:rPr>
          <w:rFonts w:ascii="Times New Roman" w:hAnsi="Times New Roman" w:cs="Times New Roman"/>
          <w:sz w:val="28"/>
          <w:szCs w:val="28"/>
        </w:rPr>
        <w:t xml:space="preserve"> «Коммерческая фирма» Кедр»</w:t>
      </w:r>
      <w:r w:rsidR="00B0240F">
        <w:rPr>
          <w:rFonts w:ascii="Times New Roman" w:hAnsi="Times New Roman" w:cs="Times New Roman"/>
          <w:sz w:val="28"/>
          <w:szCs w:val="28"/>
        </w:rPr>
        <w:t>.</w:t>
      </w:r>
    </w:p>
    <w:p w:rsidR="00845F24" w:rsidRPr="00845F24" w:rsidRDefault="00845F24" w:rsidP="00B02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4.2.</w:t>
      </w:r>
      <w:r w:rsidR="00B02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2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</w:t>
      </w:r>
      <w:r w:rsidR="00B0240F">
        <w:rPr>
          <w:rFonts w:ascii="Times New Roman" w:hAnsi="Times New Roman" w:cs="Times New Roman"/>
          <w:sz w:val="28"/>
          <w:szCs w:val="28"/>
        </w:rPr>
        <w:t>ятие нормативных правовых актов</w:t>
      </w:r>
      <w:r w:rsidRPr="00845F24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  <w:proofErr w:type="gramEnd"/>
    </w:p>
    <w:p w:rsidR="00845F24" w:rsidRPr="00845F24" w:rsidRDefault="00845F24" w:rsidP="00B0240F">
      <w:pPr>
        <w:pStyle w:val="ConsPlusNormal"/>
        <w:tabs>
          <w:tab w:val="left" w:pos="567"/>
          <w:tab w:val="left" w:pos="720"/>
        </w:tabs>
        <w:ind w:firstLine="567"/>
        <w:jc w:val="both"/>
      </w:pPr>
      <w:r w:rsidRPr="00845F24">
        <w:t>4.3.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845F24" w:rsidRPr="00845F24" w:rsidRDefault="00845F24" w:rsidP="00B0240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B0240F" w:rsidRDefault="00845F24" w:rsidP="00B0240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845F24" w:rsidRPr="00845F24" w:rsidRDefault="00845F24" w:rsidP="00B0240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845F24" w:rsidRPr="00845F24" w:rsidRDefault="00845F24" w:rsidP="00845F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</w:t>
      </w:r>
      <w:r w:rsidR="00B0240F">
        <w:rPr>
          <w:rFonts w:ascii="Times New Roman" w:hAnsi="Times New Roman" w:cs="Times New Roman"/>
          <w:sz w:val="28"/>
          <w:szCs w:val="28"/>
        </w:rPr>
        <w:t>4</w:t>
      </w:r>
      <w:r w:rsidRPr="00845F24">
        <w:rPr>
          <w:rFonts w:ascii="Times New Roman" w:hAnsi="Times New Roman" w:cs="Times New Roman"/>
          <w:sz w:val="28"/>
          <w:szCs w:val="28"/>
        </w:rPr>
        <w:t xml:space="preserve">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</w:t>
      </w:r>
      <w:r w:rsidRPr="00845F24">
        <w:rPr>
          <w:rFonts w:ascii="Times New Roman" w:hAnsi="Times New Roman" w:cs="Times New Roman"/>
          <w:sz w:val="28"/>
          <w:szCs w:val="28"/>
        </w:rPr>
        <w:lastRenderedPageBreak/>
        <w:t>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845F24" w:rsidRDefault="00845F24" w:rsidP="00845F2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ab/>
      </w:r>
    </w:p>
    <w:p w:rsidR="00845F24" w:rsidRDefault="00845F24" w:rsidP="00845F24">
      <w:pPr>
        <w:ind w:right="4495"/>
        <w:rPr>
          <w:szCs w:val="24"/>
        </w:rPr>
      </w:pPr>
    </w:p>
    <w:p w:rsidR="00DE022C" w:rsidRDefault="00DE022C"/>
    <w:p w:rsidR="00DE022C" w:rsidRDefault="00DE022C"/>
    <w:p w:rsidR="00DE022C" w:rsidRDefault="00DE022C">
      <w:pPr>
        <w:sectPr w:rsidR="00DE022C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A5D" w:rsidRDefault="001C6A5D" w:rsidP="001C6A5D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C6A5D" w:rsidRPr="00345745" w:rsidRDefault="001C6A5D" w:rsidP="001C6A5D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t>Приложение</w:t>
      </w:r>
      <w:r w:rsidR="00257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6A5D" w:rsidRPr="00345745" w:rsidRDefault="001C6A5D" w:rsidP="001C6A5D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C6A5D" w:rsidRPr="00345745" w:rsidRDefault="001C6A5D" w:rsidP="001C6A5D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1C6A5D" w:rsidRDefault="001C6A5D" w:rsidP="0040133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7F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F27">
        <w:rPr>
          <w:rFonts w:ascii="Times New Roman" w:hAnsi="Times New Roman" w:cs="Times New Roman"/>
          <w:sz w:val="24"/>
          <w:szCs w:val="24"/>
        </w:rPr>
        <w:t>12</w:t>
      </w:r>
      <w:r w:rsidR="00E75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 № </w:t>
      </w:r>
      <w:r w:rsidR="00257F27">
        <w:rPr>
          <w:rFonts w:ascii="Times New Roman" w:hAnsi="Times New Roman" w:cs="Times New Roman"/>
          <w:sz w:val="24"/>
          <w:szCs w:val="24"/>
        </w:rPr>
        <w:t>175</w:t>
      </w:r>
    </w:p>
    <w:p w:rsidR="001C6A5D" w:rsidRDefault="001C6A5D" w:rsidP="001C6A5D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C6A5D" w:rsidRPr="00C47E58" w:rsidRDefault="001C6A5D" w:rsidP="001C6A5D">
      <w:pPr>
        <w:pStyle w:val="a3"/>
        <w:tabs>
          <w:tab w:val="left" w:pos="9355"/>
        </w:tabs>
        <w:ind w:right="-1"/>
        <w:rPr>
          <w:rFonts w:ascii="Times New Roman" w:hAnsi="Times New Roman" w:cs="Times New Roman"/>
        </w:rPr>
      </w:pPr>
    </w:p>
    <w:p w:rsidR="001C6A5D" w:rsidRP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5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1C6A5D" w:rsidRP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4832"/>
        <w:gridCol w:w="1701"/>
        <w:gridCol w:w="992"/>
        <w:gridCol w:w="992"/>
        <w:gridCol w:w="992"/>
        <w:gridCol w:w="993"/>
        <w:gridCol w:w="992"/>
        <w:gridCol w:w="3260"/>
      </w:tblGrid>
      <w:tr w:rsidR="001C6A5D" w:rsidRPr="001C6A5D" w:rsidTr="00C1367C">
        <w:trPr>
          <w:trHeight w:val="344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6A5D">
              <w:rPr>
                <w:rFonts w:ascii="Times New Roman" w:hAnsi="Times New Roman" w:cs="Times New Roman"/>
              </w:rPr>
              <w:t>/</w:t>
            </w:r>
            <w:proofErr w:type="spell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Наименование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показателей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Базовый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 xml:space="preserve">показатель </w:t>
            </w:r>
            <w:proofErr w:type="gramStart"/>
            <w:r w:rsidRPr="001C6A5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начало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реализации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муниципальной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 xml:space="preserve">программы, </w:t>
            </w:r>
            <w:proofErr w:type="gramStart"/>
            <w:r w:rsidRPr="001C6A5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1.01.2013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Целевое</w:t>
            </w:r>
            <w:r w:rsidR="002E1D67"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значение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показателя на</w:t>
            </w:r>
            <w:r w:rsidR="002E1D67"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момент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окончания</w:t>
            </w:r>
            <w:r w:rsidR="002E1D67"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действия</w:t>
            </w:r>
          </w:p>
          <w:p w:rsidR="001C6A5D" w:rsidRPr="001C6A5D" w:rsidRDefault="001C6A5D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муниципальной программы, 2018 год</w:t>
            </w:r>
          </w:p>
        </w:tc>
      </w:tr>
      <w:tr w:rsidR="00C1367C" w:rsidRPr="001C6A5D" w:rsidTr="00C1367C">
        <w:trPr>
          <w:trHeight w:val="145"/>
          <w:tblCellSpacing w:w="5" w:type="nil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47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67C" w:rsidRPr="001C6A5D" w:rsidTr="00C1367C">
        <w:trPr>
          <w:trHeight w:val="269"/>
          <w:tblCellSpacing w:w="5" w:type="nil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6A5D" w:rsidRPr="001C6A5D" w:rsidTr="00A417BE">
        <w:trPr>
          <w:trHeight w:val="286"/>
          <w:tblCellSpacing w:w="5" w:type="nil"/>
        </w:trPr>
        <w:tc>
          <w:tcPr>
            <w:tcW w:w="1545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A5D" w:rsidRPr="00604AC1" w:rsidRDefault="001C6A5D" w:rsidP="0047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2" w:name="Par553"/>
            <w:bookmarkEnd w:id="2"/>
            <w:r w:rsidRPr="00604AC1">
              <w:rPr>
                <w:rFonts w:ascii="Times New Roman" w:hAnsi="Times New Roman" w:cs="Times New Roman"/>
                <w:b/>
              </w:rPr>
              <w:t>Показатели непосредственных результатов</w:t>
            </w:r>
          </w:p>
        </w:tc>
      </w:tr>
      <w:tr w:rsidR="00C1367C" w:rsidRPr="001C6A5D" w:rsidTr="00C1367C">
        <w:trPr>
          <w:trHeight w:val="560"/>
          <w:tblCellSpacing w:w="5" w:type="nil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водопроводной сети,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нуждающейся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замене, 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</w:tr>
      <w:tr w:rsidR="00C1367C" w:rsidRPr="001C6A5D" w:rsidTr="00C1367C">
        <w:trPr>
          <w:trHeight w:val="491"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401332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тепловых</w:t>
            </w:r>
            <w:r>
              <w:rPr>
                <w:rFonts w:ascii="Times New Roman" w:hAnsi="Times New Roman" w:cs="Times New Roman"/>
              </w:rPr>
              <w:t xml:space="preserve"> сетей, </w:t>
            </w:r>
            <w:r w:rsidRPr="001C6A5D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 замене,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</w:tr>
      <w:tr w:rsidR="00C1367C" w:rsidRPr="001C6A5D" w:rsidTr="00C1367C">
        <w:trPr>
          <w:trHeight w:val="491"/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67C" w:rsidRPr="00604AC1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AC1">
              <w:rPr>
                <w:rFonts w:ascii="Times New Roman" w:eastAsia="Calibri" w:hAnsi="Times New Roman" w:cs="Courier New"/>
                <w:b/>
                <w:lang w:eastAsia="ru-RU"/>
              </w:rPr>
              <w:t>Показатели конечных результатов</w:t>
            </w:r>
          </w:p>
        </w:tc>
      </w:tr>
      <w:tr w:rsidR="00C1367C" w:rsidRPr="001C6A5D" w:rsidTr="00C1367C">
        <w:trPr>
          <w:trHeight w:val="491"/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C1367C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67C" w:rsidRPr="001C6A5D" w:rsidRDefault="00C1367C" w:rsidP="001C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C6A5D" w:rsidRDefault="001C6A5D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1332" w:rsidRDefault="00401332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7BE" w:rsidRDefault="00A417BE" w:rsidP="001C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7F27">
        <w:rPr>
          <w:rFonts w:ascii="Times New Roman" w:hAnsi="Times New Roman" w:cs="Times New Roman"/>
          <w:sz w:val="24"/>
          <w:szCs w:val="24"/>
        </w:rPr>
        <w:t xml:space="preserve"> </w:t>
      </w:r>
      <w:r w:rsidR="001C6A5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E022C" w:rsidRPr="00614A2F" w:rsidRDefault="00DE022C" w:rsidP="00614A2F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7F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F2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257F27">
        <w:rPr>
          <w:rFonts w:ascii="Times New Roman" w:hAnsi="Times New Roman" w:cs="Times New Roman"/>
          <w:sz w:val="24"/>
          <w:szCs w:val="24"/>
        </w:rPr>
        <w:t>175</w:t>
      </w:r>
    </w:p>
    <w:p w:rsidR="00DE022C" w:rsidRP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2C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74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3682"/>
        <w:gridCol w:w="1984"/>
        <w:gridCol w:w="1418"/>
        <w:gridCol w:w="1134"/>
        <w:gridCol w:w="992"/>
        <w:gridCol w:w="992"/>
        <w:gridCol w:w="993"/>
        <w:gridCol w:w="850"/>
        <w:gridCol w:w="922"/>
        <w:gridCol w:w="20"/>
        <w:gridCol w:w="37"/>
        <w:gridCol w:w="21"/>
        <w:gridCol w:w="800"/>
        <w:gridCol w:w="49"/>
        <w:gridCol w:w="994"/>
        <w:gridCol w:w="936"/>
        <w:gridCol w:w="43"/>
        <w:gridCol w:w="15"/>
        <w:gridCol w:w="878"/>
        <w:gridCol w:w="116"/>
      </w:tblGrid>
      <w:tr w:rsidR="00DE022C" w:rsidRPr="00833B34" w:rsidTr="00B0240F">
        <w:trPr>
          <w:gridAfter w:val="5"/>
          <w:wAfter w:w="1988" w:type="dxa"/>
          <w:trHeight w:val="320"/>
          <w:tblCellSpacing w:w="5" w:type="nil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3B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3B34">
              <w:rPr>
                <w:rFonts w:ascii="Times New Roman" w:hAnsi="Times New Roman" w:cs="Times New Roman"/>
              </w:rPr>
              <w:t>/</w:t>
            </w:r>
            <w:proofErr w:type="spellStart"/>
            <w:r w:rsidRPr="00833B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Мероприятия</w:t>
            </w:r>
          </w:p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муниципальной</w:t>
            </w:r>
          </w:p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Ответственный</w:t>
            </w:r>
          </w:p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исполнитель/</w:t>
            </w:r>
          </w:p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Источник</w:t>
            </w:r>
          </w:p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DE022C" w:rsidRPr="00833B34" w:rsidTr="00B0240F">
        <w:trPr>
          <w:gridAfter w:val="5"/>
          <w:wAfter w:w="1988" w:type="dxa"/>
          <w:trHeight w:val="32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70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022C" w:rsidRPr="00833B34" w:rsidRDefault="00DE022C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92485" w:rsidRPr="00833B34" w:rsidTr="00B0240F">
        <w:trPr>
          <w:gridAfter w:val="5"/>
          <w:wAfter w:w="1988" w:type="dxa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485" w:rsidRPr="00833B34" w:rsidRDefault="00D92485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D92485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2485" w:rsidRPr="00071485" w:rsidRDefault="00D92485" w:rsidP="00071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bookmarkStart w:id="3" w:name="Par1114"/>
            <w:bookmarkStart w:id="4" w:name="Par1116"/>
            <w:bookmarkEnd w:id="3"/>
            <w:bookmarkEnd w:id="4"/>
            <w:r w:rsidRPr="00071485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="00071485">
              <w:rPr>
                <w:rFonts w:ascii="Times New Roman" w:hAnsi="Times New Roman" w:cs="Times New Roman"/>
                <w:b/>
              </w:rPr>
              <w:t>«</w:t>
            </w:r>
            <w:r w:rsidRPr="00071485">
              <w:rPr>
                <w:rFonts w:ascii="Times New Roman" w:hAnsi="Times New Roman" w:cs="Times New Roman"/>
                <w:b/>
              </w:rPr>
              <w:t>Создание условий для обеспечения качественными коммунальными услугами</w:t>
            </w:r>
            <w:r w:rsidR="0007148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2485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2485" w:rsidRPr="00071485" w:rsidRDefault="00D92485" w:rsidP="00071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bookmarkStart w:id="5" w:name="Par1118"/>
            <w:bookmarkEnd w:id="5"/>
            <w:r w:rsidRPr="00071485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071485">
              <w:rPr>
                <w:rFonts w:ascii="Times New Roman" w:hAnsi="Times New Roman" w:cs="Times New Roman"/>
                <w:b/>
              </w:rPr>
              <w:t>«</w:t>
            </w:r>
            <w:r w:rsidRPr="00071485">
              <w:rPr>
                <w:rFonts w:ascii="Times New Roman" w:hAnsi="Times New Roman" w:cs="Times New Roman"/>
                <w:b/>
              </w:rPr>
              <w:t>Повышение эффективности, качества и надежности поставки коммунальных ресурсов</w:t>
            </w:r>
            <w:r w:rsidR="0007148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0240F" w:rsidRPr="00833B34" w:rsidTr="00B0240F">
        <w:trPr>
          <w:gridAfter w:val="5"/>
          <w:wAfter w:w="1988" w:type="dxa"/>
          <w:trHeight w:val="320"/>
          <w:tblCellSpacing w:w="5" w:type="nil"/>
        </w:trPr>
        <w:tc>
          <w:tcPr>
            <w:tcW w:w="5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6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4052AA" w:rsidRDefault="002730A3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30A3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C21CDE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 w:rsidR="00B0240F" w:rsidRPr="00C21CDE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130"/>
            <w:bookmarkEnd w:id="6"/>
            <w:r>
              <w:rPr>
                <w:rFonts w:ascii="Times New Roman" w:hAnsi="Times New Roman" w:cs="Times New Roman"/>
                <w:b/>
              </w:rPr>
              <w:t>1</w:t>
            </w: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40F"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40F"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40F"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0240F" w:rsidRPr="00833B34" w:rsidTr="00B0240F">
        <w:trPr>
          <w:gridAfter w:val="5"/>
          <w:wAfter w:w="1988" w:type="dxa"/>
          <w:trHeight w:val="64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C21CDE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B0240F" w:rsidRPr="00C21CD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0F"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0F"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B0240F" w:rsidRPr="00833B34">
              <w:rPr>
                <w:rFonts w:ascii="Times New Roman" w:hAnsi="Times New Roman" w:cs="Times New Roman"/>
              </w:rPr>
              <w:t>00</w:t>
            </w:r>
          </w:p>
        </w:tc>
      </w:tr>
      <w:tr w:rsidR="00B0240F" w:rsidRPr="00833B34" w:rsidTr="00B0240F">
        <w:trPr>
          <w:trHeight w:val="281"/>
          <w:tblCellSpacing w:w="5" w:type="nil"/>
        </w:trPr>
        <w:tc>
          <w:tcPr>
            <w:tcW w:w="622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240F" w:rsidRPr="00833B34" w:rsidRDefault="00B0240F" w:rsidP="00833B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Итого по Подпрограмме 1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C21CDE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 w:rsidR="00B0240F" w:rsidRPr="00C21CDE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40F" w:rsidRPr="001E3899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40F" w:rsidRPr="001E389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40F" w:rsidRPr="001E3899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40F" w:rsidRPr="001E389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1E3899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40F" w:rsidRPr="001E389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4" w:type="dxa"/>
            <w:gridSpan w:val="3"/>
            <w:vAlign w:val="center"/>
          </w:tcPr>
          <w:p w:rsidR="00B0240F" w:rsidRPr="001E3899" w:rsidRDefault="00B0240F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0240F" w:rsidRPr="001E3899" w:rsidRDefault="00B0240F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89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0240F" w:rsidRPr="00833B34" w:rsidTr="00B0240F">
        <w:trPr>
          <w:trHeight w:val="320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C21CDE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B0240F" w:rsidRPr="00C21CD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B0240F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0F"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0F"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240F" w:rsidRPr="00833B34" w:rsidRDefault="006E4554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0F"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4" w:type="dxa"/>
            <w:gridSpan w:val="3"/>
            <w:vAlign w:val="center"/>
          </w:tcPr>
          <w:p w:rsidR="00B0240F" w:rsidRPr="00833B34" w:rsidRDefault="00B0240F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0240F" w:rsidRPr="00833B34" w:rsidRDefault="00B0240F" w:rsidP="004013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</w:tr>
      <w:tr w:rsidR="00B0240F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240F" w:rsidRPr="00071485" w:rsidRDefault="00B0240F" w:rsidP="00071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 w:rsidRPr="00071485">
              <w:rPr>
                <w:rFonts w:ascii="Times New Roman" w:hAnsi="Times New Roman" w:cs="Times New Roman"/>
                <w:b/>
              </w:rPr>
              <w:t>Подпрограмма 2</w:t>
            </w:r>
            <w:r>
              <w:rPr>
                <w:rFonts w:ascii="Times New Roman" w:hAnsi="Times New Roman" w:cs="Times New Roman"/>
                <w:b/>
              </w:rPr>
              <w:t>. «</w:t>
            </w:r>
            <w:r w:rsidRPr="00071485">
              <w:rPr>
                <w:rFonts w:ascii="Times New Roman" w:hAnsi="Times New Roman" w:cs="Times New Roman"/>
                <w:b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0240F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240F" w:rsidRPr="00071485" w:rsidRDefault="00B0240F" w:rsidP="00071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 w:rsidRPr="00071485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71485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071485">
              <w:rPr>
                <w:rFonts w:ascii="Times New Roman" w:hAnsi="Times New Roman" w:cs="Times New Roman"/>
                <w:b/>
              </w:rPr>
              <w:t>Повышение эффективности управления и содержания общего имущества многоквартирных домов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554" w:rsidRPr="00833B34" w:rsidTr="006324F4">
        <w:trPr>
          <w:gridAfter w:val="5"/>
          <w:wAfter w:w="1988" w:type="dxa"/>
          <w:trHeight w:val="199"/>
          <w:tblCellSpacing w:w="5" w:type="nil"/>
        </w:trPr>
        <w:tc>
          <w:tcPr>
            <w:tcW w:w="5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6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4052AA" w:rsidRDefault="006E4554" w:rsidP="008B2B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52AA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работ, услуг в целях капитального ремонта  муниципального имущества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6E4554" w:rsidRPr="00833B34" w:rsidTr="006324F4">
        <w:trPr>
          <w:gridAfter w:val="5"/>
          <w:wAfter w:w="1988" w:type="dxa"/>
          <w:trHeight w:val="64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6E45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E4554" w:rsidRPr="00833B34" w:rsidTr="006324F4">
        <w:trPr>
          <w:gridAfter w:val="5"/>
          <w:wAfter w:w="1988" w:type="dxa"/>
          <w:trHeight w:val="322"/>
          <w:tblCellSpacing w:w="5" w:type="nil"/>
        </w:trPr>
        <w:tc>
          <w:tcPr>
            <w:tcW w:w="5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Взносы на капитальный ремонт муниципальных квартир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899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E4554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8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899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8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AC5A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1E3899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6E4554" w:rsidRPr="00833B34" w:rsidTr="006324F4">
        <w:trPr>
          <w:gridAfter w:val="5"/>
          <w:wAfter w:w="1988" w:type="dxa"/>
          <w:trHeight w:val="694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6E455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C5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6E4554" w:rsidRPr="00833B34" w:rsidTr="006324F4">
        <w:trPr>
          <w:gridAfter w:val="5"/>
          <w:wAfter w:w="1988" w:type="dxa"/>
          <w:trHeight w:val="276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4052AA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Возмещение недополученных доходов, возмещения затрат в связи с выполнением работ, оказанием услуг, предприятиям ЖКХ и энергетического комплекса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6E4554">
              <w:rPr>
                <w:rFonts w:ascii="Times New Roman" w:hAnsi="Times New Roman" w:cs="Times New Roman"/>
                <w:b/>
              </w:rPr>
              <w:t>9</w:t>
            </w:r>
            <w:r w:rsidR="006E4554" w:rsidRPr="00833B34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AC5A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33B3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E4554" w:rsidRPr="00833B34" w:rsidTr="006324F4">
        <w:trPr>
          <w:gridAfter w:val="5"/>
          <w:wAfter w:w="1988" w:type="dxa"/>
          <w:trHeight w:val="681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E4554" w:rsidRPr="00833B3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C5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3B34">
              <w:rPr>
                <w:rFonts w:ascii="Times New Roman" w:hAnsi="Times New Roman" w:cs="Times New Roman"/>
              </w:rPr>
              <w:t>0,0</w:t>
            </w:r>
          </w:p>
        </w:tc>
      </w:tr>
      <w:tr w:rsidR="006E4554" w:rsidRPr="00833B34" w:rsidTr="006324F4">
        <w:trPr>
          <w:gridAfter w:val="5"/>
          <w:wAfter w:w="1988" w:type="dxa"/>
          <w:trHeight w:val="466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4554" w:rsidRPr="00833B34" w:rsidRDefault="006E4554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</w:tr>
      <w:tr w:rsidR="00AC5AA1" w:rsidRPr="00833B34" w:rsidTr="006324F4">
        <w:trPr>
          <w:gridAfter w:val="1"/>
          <w:wAfter w:w="116" w:type="dxa"/>
          <w:trHeight w:val="255"/>
          <w:tblCellSpacing w:w="5" w:type="nil"/>
        </w:trPr>
        <w:tc>
          <w:tcPr>
            <w:tcW w:w="622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833B34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</w:t>
            </w:r>
            <w:r w:rsidRPr="00833B34">
              <w:rPr>
                <w:rFonts w:ascii="Times New Roman" w:hAnsi="Times New Roman" w:cs="Times New Roman"/>
              </w:rPr>
              <w:t xml:space="preserve">одпрограмме 2                    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AC5A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104,4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4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4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0C2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857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857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857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936" w:type="dxa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A1" w:rsidRPr="00833B34" w:rsidTr="006324F4">
        <w:trPr>
          <w:gridAfter w:val="1"/>
          <w:wAfter w:w="116" w:type="dxa"/>
          <w:trHeight w:val="434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0C2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6E455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6E455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6E455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36" w:type="dxa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A1" w:rsidRPr="00833B34" w:rsidTr="006324F4">
        <w:trPr>
          <w:gridAfter w:val="1"/>
          <w:wAfter w:w="116" w:type="dxa"/>
          <w:trHeight w:val="434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85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0C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6E455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6E455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6E455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36" w:type="dxa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A1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C5AA1" w:rsidRPr="00071485" w:rsidRDefault="00AC5AA1" w:rsidP="004401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 w:rsidRPr="0007148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7148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071485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r w:rsidRPr="00071485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071485">
              <w:rPr>
                <w:rFonts w:ascii="Times New Roman" w:hAnsi="Times New Roman" w:cs="Times New Roman"/>
                <w:b/>
              </w:rPr>
              <w:t xml:space="preserve"> в отраслях экономики»</w:t>
            </w:r>
          </w:p>
        </w:tc>
      </w:tr>
      <w:tr w:rsidR="00AC5AA1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C5AA1" w:rsidRPr="00071485" w:rsidRDefault="00AC5AA1" w:rsidP="00071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3. </w:t>
            </w:r>
            <w:r w:rsidRPr="000714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071485">
              <w:rPr>
                <w:rFonts w:ascii="Times New Roman" w:hAnsi="Times New Roman" w:cs="Times New Roman"/>
                <w:b/>
              </w:rPr>
              <w:t>П</w:t>
            </w:r>
            <w:r w:rsidRPr="00071485">
              <w:rPr>
                <w:rFonts w:ascii="Times New Roman" w:eastAsia="Calibri" w:hAnsi="Times New Roman" w:cs="Times New Roman"/>
                <w:b/>
              </w:rPr>
              <w:t>овышение энергетической эффективности в жилищной сфере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C5AA1" w:rsidRPr="00833B34" w:rsidTr="00B0240F">
        <w:trPr>
          <w:gridAfter w:val="5"/>
          <w:wAfter w:w="1988" w:type="dxa"/>
          <w:trHeight w:val="320"/>
          <w:tblCellSpacing w:w="5" w:type="nil"/>
        </w:trPr>
        <w:tc>
          <w:tcPr>
            <w:tcW w:w="5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A1" w:rsidRPr="00833B34" w:rsidRDefault="00AC5AA1" w:rsidP="004401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833B34">
              <w:rPr>
                <w:rFonts w:ascii="Times New Roman" w:hAnsi="Times New Roman" w:cs="Times New Roman"/>
              </w:rPr>
              <w:t xml:space="preserve">.1  </w:t>
            </w:r>
          </w:p>
        </w:tc>
        <w:tc>
          <w:tcPr>
            <w:tcW w:w="36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833B34">
              <w:rPr>
                <w:rFonts w:ascii="Times New Roman" w:hAnsi="Times New Roman" w:cs="Times New Roman"/>
              </w:rPr>
              <w:t>измерении</w:t>
            </w:r>
            <w:proofErr w:type="gramEnd"/>
            <w:r w:rsidRPr="00833B34">
              <w:rPr>
                <w:rFonts w:ascii="Times New Roman" w:hAnsi="Times New Roman" w:cs="Times New Roman"/>
              </w:rPr>
              <w:t xml:space="preserve"> сопротивления изоляции осветительной сети. Демонтажные и монтажные работы электропроводки.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348,4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456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246,9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7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C5AA1" w:rsidRPr="00833B34" w:rsidTr="00B0240F">
        <w:trPr>
          <w:gridAfter w:val="5"/>
          <w:wAfter w:w="1988" w:type="dxa"/>
          <w:trHeight w:val="64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2C456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C5AA1" w:rsidRPr="00833B34" w:rsidTr="00B0240F">
        <w:trPr>
          <w:gridAfter w:val="3"/>
          <w:wAfter w:w="1009" w:type="dxa"/>
          <w:trHeight w:val="189"/>
          <w:tblCellSpacing w:w="5" w:type="nil"/>
        </w:trPr>
        <w:tc>
          <w:tcPr>
            <w:tcW w:w="622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401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</w:rPr>
              <w:t>3</w:t>
            </w:r>
            <w:r w:rsidRPr="00833B34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833B3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348,4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833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246,9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833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833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7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79" w:type="dxa"/>
            <w:gridSpan w:val="2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A1" w:rsidRPr="00833B34" w:rsidTr="00B0240F">
        <w:trPr>
          <w:gridAfter w:val="3"/>
          <w:wAfter w:w="1009" w:type="dxa"/>
          <w:trHeight w:val="320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gridSpan w:val="2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A1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AA1" w:rsidRPr="00071485" w:rsidRDefault="00AC5AA1" w:rsidP="004401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 w:rsidRPr="0007148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71485">
              <w:rPr>
                <w:rFonts w:ascii="Times New Roman" w:hAnsi="Times New Roman" w:cs="Times New Roman"/>
                <w:b/>
              </w:rPr>
              <w:t>. «Обеспечение реализации государственной программы»</w:t>
            </w:r>
          </w:p>
        </w:tc>
      </w:tr>
      <w:tr w:rsidR="00AC5AA1" w:rsidRPr="00833B34" w:rsidTr="00B0240F">
        <w:trPr>
          <w:gridAfter w:val="5"/>
          <w:wAfter w:w="1988" w:type="dxa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AA1" w:rsidRPr="00071485" w:rsidRDefault="00AC5AA1" w:rsidP="00071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 w:rsidRPr="00071485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71485">
              <w:rPr>
                <w:rFonts w:ascii="Times New Roman" w:hAnsi="Times New Roman" w:cs="Times New Roman"/>
                <w:b/>
              </w:rPr>
              <w:t>. «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Pr="00071485">
              <w:rPr>
                <w:rFonts w:ascii="Times New Roman" w:eastAsia="Calibri" w:hAnsi="Times New Roman" w:cs="Times New Roman"/>
                <w:b/>
              </w:rPr>
              <w:t>рганизация деятельности по исполнению муниципальной программы</w:t>
            </w:r>
            <w:r w:rsidRPr="0007148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C5AA1" w:rsidRPr="00833B34" w:rsidTr="00B0240F">
        <w:trPr>
          <w:gridAfter w:val="5"/>
          <w:wAfter w:w="1988" w:type="dxa"/>
          <w:trHeight w:val="264"/>
          <w:tblCellSpacing w:w="5" w:type="nil"/>
        </w:trPr>
        <w:tc>
          <w:tcPr>
            <w:tcW w:w="5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33B34">
              <w:rPr>
                <w:rFonts w:ascii="Times New Roman" w:hAnsi="Times New Roman" w:cs="Times New Roman"/>
              </w:rPr>
              <w:t xml:space="preserve">.1  </w:t>
            </w:r>
          </w:p>
        </w:tc>
        <w:tc>
          <w:tcPr>
            <w:tcW w:w="368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Разработка схем водоснабжение о водоотведение 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C21C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833B3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416,0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0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C5AA1" w:rsidRPr="00833B34" w:rsidTr="00B0240F">
        <w:trPr>
          <w:gridAfter w:val="5"/>
          <w:wAfter w:w="1988" w:type="dxa"/>
          <w:trHeight w:val="36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</w:tr>
      <w:tr w:rsidR="00AC5AA1" w:rsidRPr="00833B34" w:rsidTr="00B0240F">
        <w:trPr>
          <w:gridAfter w:val="5"/>
          <w:wAfter w:w="1988" w:type="dxa"/>
          <w:trHeight w:val="36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C21C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</w:t>
            </w:r>
            <w:r w:rsidRPr="00833B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</w:tr>
      <w:tr w:rsidR="00AC5AA1" w:rsidRPr="00833B34" w:rsidTr="00B0240F">
        <w:trPr>
          <w:gridAfter w:val="5"/>
          <w:wAfter w:w="1988" w:type="dxa"/>
          <w:trHeight w:val="202"/>
          <w:tblCellSpacing w:w="5" w:type="nil"/>
        </w:trPr>
        <w:tc>
          <w:tcPr>
            <w:tcW w:w="622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</w:rPr>
              <w:t>4</w:t>
            </w:r>
            <w:r w:rsidRPr="00833B34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C21C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833B3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416,0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33B3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0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C5AA1" w:rsidRPr="00833B34" w:rsidTr="00B0240F">
        <w:trPr>
          <w:gridAfter w:val="3"/>
          <w:wAfter w:w="1009" w:type="dxa"/>
          <w:trHeight w:val="277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gridSpan w:val="2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A1" w:rsidRPr="00833B34" w:rsidTr="00B0240F">
        <w:trPr>
          <w:gridAfter w:val="3"/>
          <w:wAfter w:w="1009" w:type="dxa"/>
          <w:trHeight w:val="276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C21C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</w:t>
            </w:r>
            <w:r w:rsidRPr="00833B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94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94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3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94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gridSpan w:val="2"/>
            <w:vAlign w:val="center"/>
          </w:tcPr>
          <w:p w:rsidR="00AC5AA1" w:rsidRPr="00833B34" w:rsidRDefault="00AC5AA1" w:rsidP="00477B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A1" w:rsidRPr="00833B34" w:rsidTr="00B0240F">
        <w:trPr>
          <w:gridAfter w:val="5"/>
          <w:wAfter w:w="1988" w:type="dxa"/>
          <w:trHeight w:val="298"/>
          <w:tblCellSpacing w:w="5" w:type="nil"/>
        </w:trPr>
        <w:tc>
          <w:tcPr>
            <w:tcW w:w="622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Всего по программе</w:t>
            </w:r>
          </w:p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B85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1 754,5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B34">
              <w:rPr>
                <w:rFonts w:ascii="Times New Roman" w:hAnsi="Times New Roman" w:cs="Times New Roman"/>
                <w:b/>
              </w:rPr>
              <w:t>924,3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33B3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00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40133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240,5</w:t>
            </w:r>
          </w:p>
        </w:tc>
      </w:tr>
      <w:tr w:rsidR="00AC5AA1" w:rsidRPr="00833B34" w:rsidTr="00B0240F">
        <w:trPr>
          <w:gridAfter w:val="5"/>
          <w:wAfter w:w="1988" w:type="dxa"/>
          <w:trHeight w:val="277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7F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7F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40133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7FA">
              <w:rPr>
                <w:rFonts w:ascii="Times New Roman" w:hAnsi="Times New Roman" w:cs="Times New Roman"/>
              </w:rPr>
              <w:t>90,0</w:t>
            </w:r>
          </w:p>
        </w:tc>
      </w:tr>
      <w:tr w:rsidR="00AC5AA1" w:rsidRPr="00833B34" w:rsidTr="00B0240F">
        <w:trPr>
          <w:gridAfter w:val="5"/>
          <w:wAfter w:w="1988" w:type="dxa"/>
          <w:trHeight w:val="276"/>
          <w:tblCellSpacing w:w="5" w:type="nil"/>
        </w:trPr>
        <w:tc>
          <w:tcPr>
            <w:tcW w:w="622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C5AA1" w:rsidRPr="00833B34" w:rsidRDefault="00AC5AA1" w:rsidP="00477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 xml:space="preserve">местный     </w:t>
            </w:r>
          </w:p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AD3C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B34">
              <w:rPr>
                <w:rFonts w:ascii="Times New Roman" w:hAnsi="Times New Roman" w:cs="Times New Roman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833B34" w:rsidRDefault="00AC5AA1" w:rsidP="005322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33B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5869F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5AA1" w:rsidRPr="00B857FA" w:rsidRDefault="00AC5AA1" w:rsidP="00B857F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</w:tr>
    </w:tbl>
    <w:p w:rsidR="00DE022C" w:rsidRDefault="00AD3C02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DE022C" w:rsidRDefault="00DE022C"/>
    <w:p w:rsidR="00DE022C" w:rsidRDefault="00DE022C"/>
    <w:p w:rsidR="00DE022C" w:rsidRDefault="00DE022C"/>
    <w:p w:rsidR="00DE022C" w:rsidRDefault="00DE022C"/>
    <w:sectPr w:rsidR="00DE022C" w:rsidSect="00D924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851CF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56A11B4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26A6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6F0"/>
    <w:rsid w:val="0001748B"/>
    <w:rsid w:val="00025D62"/>
    <w:rsid w:val="00033B31"/>
    <w:rsid w:val="00067373"/>
    <w:rsid w:val="00071485"/>
    <w:rsid w:val="000B7478"/>
    <w:rsid w:val="000C0068"/>
    <w:rsid w:val="000C06C9"/>
    <w:rsid w:val="001038F7"/>
    <w:rsid w:val="001265B4"/>
    <w:rsid w:val="0013629E"/>
    <w:rsid w:val="0017239A"/>
    <w:rsid w:val="001C4B3A"/>
    <w:rsid w:val="001C5692"/>
    <w:rsid w:val="001C6A5D"/>
    <w:rsid w:val="001D4E06"/>
    <w:rsid w:val="001E3899"/>
    <w:rsid w:val="00234AB1"/>
    <w:rsid w:val="0024287D"/>
    <w:rsid w:val="00253C17"/>
    <w:rsid w:val="00257F27"/>
    <w:rsid w:val="002730A3"/>
    <w:rsid w:val="00291833"/>
    <w:rsid w:val="002C4560"/>
    <w:rsid w:val="002D283A"/>
    <w:rsid w:val="002E1D67"/>
    <w:rsid w:val="00346654"/>
    <w:rsid w:val="0038548C"/>
    <w:rsid w:val="003D709B"/>
    <w:rsid w:val="003E4355"/>
    <w:rsid w:val="00401332"/>
    <w:rsid w:val="004052AA"/>
    <w:rsid w:val="004401DD"/>
    <w:rsid w:val="00477BD4"/>
    <w:rsid w:val="004A7A98"/>
    <w:rsid w:val="004E6490"/>
    <w:rsid w:val="005322F5"/>
    <w:rsid w:val="005646DC"/>
    <w:rsid w:val="00582BEE"/>
    <w:rsid w:val="005901FC"/>
    <w:rsid w:val="005947FB"/>
    <w:rsid w:val="005D6109"/>
    <w:rsid w:val="00604AC1"/>
    <w:rsid w:val="00606D0C"/>
    <w:rsid w:val="0060751F"/>
    <w:rsid w:val="00614A2F"/>
    <w:rsid w:val="006324F4"/>
    <w:rsid w:val="006A36F0"/>
    <w:rsid w:val="006A4E80"/>
    <w:rsid w:val="006B1F38"/>
    <w:rsid w:val="006D508B"/>
    <w:rsid w:val="006E4554"/>
    <w:rsid w:val="007104C4"/>
    <w:rsid w:val="00753278"/>
    <w:rsid w:val="00773E2D"/>
    <w:rsid w:val="007D00B8"/>
    <w:rsid w:val="007D3D4F"/>
    <w:rsid w:val="007E5D65"/>
    <w:rsid w:val="007F7FBF"/>
    <w:rsid w:val="00833B34"/>
    <w:rsid w:val="00845F24"/>
    <w:rsid w:val="0085425D"/>
    <w:rsid w:val="00876718"/>
    <w:rsid w:val="008A0EC5"/>
    <w:rsid w:val="008B2B27"/>
    <w:rsid w:val="008B4E0B"/>
    <w:rsid w:val="008B51BB"/>
    <w:rsid w:val="009703D8"/>
    <w:rsid w:val="009C45B7"/>
    <w:rsid w:val="009E7AF7"/>
    <w:rsid w:val="009F1222"/>
    <w:rsid w:val="009F250F"/>
    <w:rsid w:val="00A0742A"/>
    <w:rsid w:val="00A33AB1"/>
    <w:rsid w:val="00A417BE"/>
    <w:rsid w:val="00A514F0"/>
    <w:rsid w:val="00A85B2B"/>
    <w:rsid w:val="00AC5AA1"/>
    <w:rsid w:val="00AD3C02"/>
    <w:rsid w:val="00AE10DF"/>
    <w:rsid w:val="00AF1190"/>
    <w:rsid w:val="00B0240F"/>
    <w:rsid w:val="00B31015"/>
    <w:rsid w:val="00B65B8A"/>
    <w:rsid w:val="00B857FA"/>
    <w:rsid w:val="00B94013"/>
    <w:rsid w:val="00C1367C"/>
    <w:rsid w:val="00C21CDE"/>
    <w:rsid w:val="00C37AE2"/>
    <w:rsid w:val="00C422D0"/>
    <w:rsid w:val="00C46D13"/>
    <w:rsid w:val="00C71677"/>
    <w:rsid w:val="00C92F3A"/>
    <w:rsid w:val="00CA34E3"/>
    <w:rsid w:val="00CA5FAD"/>
    <w:rsid w:val="00D15A14"/>
    <w:rsid w:val="00D15B87"/>
    <w:rsid w:val="00D2358F"/>
    <w:rsid w:val="00D553EC"/>
    <w:rsid w:val="00D85BA0"/>
    <w:rsid w:val="00D92485"/>
    <w:rsid w:val="00D960EA"/>
    <w:rsid w:val="00DC1EB0"/>
    <w:rsid w:val="00DE022C"/>
    <w:rsid w:val="00DF52F2"/>
    <w:rsid w:val="00E14585"/>
    <w:rsid w:val="00E22037"/>
    <w:rsid w:val="00E75C90"/>
    <w:rsid w:val="00ED1E9E"/>
    <w:rsid w:val="00EF6BBF"/>
    <w:rsid w:val="00F10550"/>
    <w:rsid w:val="00F96CA8"/>
    <w:rsid w:val="00FA3647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semiHidden/>
    <w:unhideWhenUsed/>
    <w:rsid w:val="00845F24"/>
    <w:rPr>
      <w:color w:val="0000FF"/>
      <w:u w:val="single"/>
    </w:rPr>
  </w:style>
  <w:style w:type="paragraph" w:customStyle="1" w:styleId="Default">
    <w:name w:val="Default"/>
    <w:rsid w:val="00B02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0E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77</cp:revision>
  <cp:lastPrinted>2015-12-24T06:44:00Z</cp:lastPrinted>
  <dcterms:created xsi:type="dcterms:W3CDTF">2013-12-16T04:07:00Z</dcterms:created>
  <dcterms:modified xsi:type="dcterms:W3CDTF">2016-01-15T10:30:00Z</dcterms:modified>
</cp:coreProperties>
</file>