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F4" w:rsidRPr="00F92B00" w:rsidRDefault="00B545F4" w:rsidP="00F92B00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</w:t>
      </w:r>
      <w:r w:rsidRPr="00157D50">
        <w:rPr>
          <w:rFonts w:ascii="Times New Roman" w:hAnsi="Times New Roman"/>
          <w:b/>
          <w:sz w:val="24"/>
          <w:szCs w:val="24"/>
        </w:rPr>
        <w:t xml:space="preserve"> ПОСЕЛЕНИЕ </w:t>
      </w:r>
      <w:r w:rsidR="00F92B00">
        <w:rPr>
          <w:rFonts w:ascii="Times New Roman" w:hAnsi="Times New Roman"/>
          <w:b/>
          <w:sz w:val="24"/>
          <w:szCs w:val="24"/>
        </w:rPr>
        <w:t>ХУЛИМСУНТ</w:t>
      </w:r>
    </w:p>
    <w:p w:rsidR="00B545F4" w:rsidRPr="006329C8" w:rsidRDefault="00B545F4" w:rsidP="00B545F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  <w:r w:rsidRPr="006329C8">
        <w:rPr>
          <w:rFonts w:ascii="Times New Roman" w:hAnsi="Times New Roman"/>
          <w:b/>
          <w:sz w:val="24"/>
          <w:szCs w:val="24"/>
        </w:rPr>
        <w:t>о результатах оценки бюджетной, социальной и экономической эффективности н</w:t>
      </w:r>
      <w:r w:rsidR="00C11566">
        <w:rPr>
          <w:rFonts w:ascii="Times New Roman" w:hAnsi="Times New Roman"/>
          <w:b/>
          <w:sz w:val="24"/>
          <w:szCs w:val="24"/>
        </w:rPr>
        <w:t>алоговых льгот, предоставляемых</w:t>
      </w:r>
      <w:r w:rsidRPr="006329C8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сельском</w:t>
      </w:r>
      <w:r w:rsidRPr="006329C8">
        <w:rPr>
          <w:rFonts w:ascii="Times New Roman" w:hAnsi="Times New Roman"/>
          <w:b/>
          <w:sz w:val="24"/>
          <w:szCs w:val="24"/>
        </w:rPr>
        <w:t xml:space="preserve"> поселении </w:t>
      </w:r>
      <w:r>
        <w:rPr>
          <w:rFonts w:ascii="Times New Roman" w:hAnsi="Times New Roman"/>
          <w:b/>
          <w:sz w:val="24"/>
          <w:szCs w:val="24"/>
        </w:rPr>
        <w:t>Хулимсунт за 20</w:t>
      </w:r>
      <w:r w:rsidR="0071350A">
        <w:rPr>
          <w:rFonts w:ascii="Times New Roman" w:hAnsi="Times New Roman"/>
          <w:b/>
          <w:sz w:val="24"/>
          <w:szCs w:val="24"/>
        </w:rPr>
        <w:t>20</w:t>
      </w:r>
      <w:r w:rsidRPr="006329C8">
        <w:rPr>
          <w:rFonts w:ascii="Times New Roman" w:hAnsi="Times New Roman"/>
          <w:b/>
          <w:sz w:val="24"/>
          <w:szCs w:val="24"/>
        </w:rPr>
        <w:t xml:space="preserve"> год, прогноз выпадающих доходов бюджета </w:t>
      </w:r>
      <w:r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6329C8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 xml:space="preserve">Хулимсунт </w:t>
      </w:r>
      <w:r w:rsidRPr="006329C8">
        <w:rPr>
          <w:rFonts w:ascii="Times New Roman" w:hAnsi="Times New Roman"/>
          <w:b/>
          <w:sz w:val="24"/>
          <w:szCs w:val="24"/>
        </w:rPr>
        <w:t xml:space="preserve">на </w:t>
      </w:r>
      <w:r w:rsidR="00065AF8">
        <w:rPr>
          <w:rFonts w:ascii="Times New Roman" w:hAnsi="Times New Roman"/>
          <w:b/>
          <w:sz w:val="24"/>
          <w:szCs w:val="24"/>
        </w:rPr>
        <w:t>2021</w:t>
      </w:r>
      <w:r w:rsidRPr="006329C8">
        <w:rPr>
          <w:rFonts w:ascii="Times New Roman" w:hAnsi="Times New Roman"/>
          <w:b/>
          <w:sz w:val="24"/>
          <w:szCs w:val="24"/>
        </w:rPr>
        <w:t xml:space="preserve"> год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6911">
        <w:rPr>
          <w:rFonts w:ascii="Times New Roman" w:hAnsi="Times New Roman"/>
          <w:b/>
          <w:sz w:val="24"/>
          <w:szCs w:val="24"/>
        </w:rPr>
        <w:t>на период</w:t>
      </w:r>
      <w:r w:rsidRPr="006329C8">
        <w:rPr>
          <w:rFonts w:ascii="Times New Roman" w:hAnsi="Times New Roman"/>
          <w:b/>
          <w:sz w:val="24"/>
          <w:szCs w:val="24"/>
        </w:rPr>
        <w:t xml:space="preserve"> 20</w:t>
      </w:r>
      <w:r w:rsidR="00C11566">
        <w:rPr>
          <w:rFonts w:ascii="Times New Roman" w:hAnsi="Times New Roman"/>
          <w:b/>
          <w:sz w:val="24"/>
          <w:szCs w:val="24"/>
        </w:rPr>
        <w:t>2</w:t>
      </w:r>
      <w:r w:rsidR="00065AF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- 20</w:t>
      </w:r>
      <w:r w:rsidR="003824DF">
        <w:rPr>
          <w:rFonts w:ascii="Times New Roman" w:hAnsi="Times New Roman"/>
          <w:b/>
          <w:sz w:val="24"/>
          <w:szCs w:val="24"/>
        </w:rPr>
        <w:t>2</w:t>
      </w:r>
      <w:r w:rsidR="00065AF8">
        <w:rPr>
          <w:rFonts w:ascii="Times New Roman" w:hAnsi="Times New Roman"/>
          <w:b/>
          <w:sz w:val="24"/>
          <w:szCs w:val="24"/>
        </w:rPr>
        <w:t>4</w:t>
      </w:r>
      <w:r w:rsidRPr="006329C8">
        <w:rPr>
          <w:rFonts w:ascii="Times New Roman" w:hAnsi="Times New Roman"/>
          <w:b/>
          <w:sz w:val="24"/>
          <w:szCs w:val="24"/>
        </w:rPr>
        <w:t xml:space="preserve"> годов, в связи с применением налоговых льгот</w:t>
      </w:r>
    </w:p>
    <w:p w:rsidR="00B545F4" w:rsidRDefault="00B545F4" w:rsidP="00B3005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Оценка бюджетной, социальной и экономической эффективности предоставляемых налоговых льгот в </w:t>
      </w:r>
      <w:r>
        <w:rPr>
          <w:rFonts w:ascii="Times New Roman" w:hAnsi="Times New Roman"/>
          <w:sz w:val="24"/>
          <w:szCs w:val="24"/>
        </w:rPr>
        <w:t>сельском</w:t>
      </w:r>
      <w:r w:rsidRPr="006329C8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>Хулимсунт за 20</w:t>
      </w:r>
      <w:r w:rsidR="00CA353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329C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C8">
        <w:rPr>
          <w:rFonts w:ascii="Times New Roman" w:hAnsi="Times New Roman"/>
          <w:sz w:val="24"/>
          <w:szCs w:val="24"/>
        </w:rPr>
        <w:t>проведена в соответствии с Порядком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C8">
        <w:rPr>
          <w:rFonts w:ascii="Times New Roman" w:hAnsi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6329C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Хулимсунт от 12</w:t>
      </w:r>
      <w:r w:rsidRPr="00632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2014 года № 63</w:t>
      </w:r>
      <w:r w:rsidRPr="006329C8">
        <w:rPr>
          <w:rFonts w:ascii="Times New Roman" w:hAnsi="Times New Roman"/>
          <w:sz w:val="24"/>
          <w:szCs w:val="24"/>
        </w:rPr>
        <w:t>, на основании данных отчета о налоговой базе и структуре начис</w:t>
      </w:r>
      <w:r>
        <w:rPr>
          <w:rFonts w:ascii="Times New Roman" w:hAnsi="Times New Roman"/>
          <w:sz w:val="24"/>
          <w:szCs w:val="24"/>
        </w:rPr>
        <w:t>лений по местным налогам за 20</w:t>
      </w:r>
      <w:r w:rsidR="00065AF8">
        <w:rPr>
          <w:rFonts w:ascii="Times New Roman" w:hAnsi="Times New Roman"/>
          <w:sz w:val="24"/>
          <w:szCs w:val="24"/>
        </w:rPr>
        <w:t>20</w:t>
      </w:r>
      <w:r w:rsidRPr="006329C8">
        <w:rPr>
          <w:rFonts w:ascii="Times New Roman" w:hAnsi="Times New Roman"/>
          <w:sz w:val="24"/>
          <w:szCs w:val="24"/>
        </w:rPr>
        <w:t xml:space="preserve"> год (далее -  отчет 5-МН), предоставленного </w:t>
      </w:r>
      <w:r w:rsidRPr="00FE3534">
        <w:rPr>
          <w:rFonts w:ascii="Times New Roman" w:hAnsi="Times New Roman"/>
          <w:color w:val="000000"/>
          <w:sz w:val="24"/>
          <w:szCs w:val="24"/>
        </w:rPr>
        <w:t>Межрайонной ИФНС России №8 по Ханты-Мансийскому автономному округу – Югре.</w:t>
      </w:r>
    </w:p>
    <w:p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>Целями осуществления бюджетной, социальной и экономической оценки эффективности предоставляемых (планируемых к предоставлению) налоговых льгот являются:</w:t>
      </w:r>
    </w:p>
    <w:p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- минимизация потерь бюджета </w:t>
      </w:r>
      <w:r>
        <w:rPr>
          <w:rFonts w:ascii="Times New Roman" w:hAnsi="Times New Roman"/>
          <w:sz w:val="24"/>
          <w:szCs w:val="24"/>
        </w:rPr>
        <w:t>сельского</w:t>
      </w:r>
      <w:r w:rsidRPr="006329C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6329C8">
        <w:rPr>
          <w:rFonts w:ascii="Times New Roman" w:hAnsi="Times New Roman"/>
          <w:sz w:val="24"/>
          <w:szCs w:val="24"/>
        </w:rPr>
        <w:t>, связанных с предоставлением налоговых льгот;</w:t>
      </w:r>
    </w:p>
    <w:p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- проведение социальной политики.  </w:t>
      </w:r>
    </w:p>
    <w:p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Результаты оценки бюджетной, социальной эффективности налоговых льгот используются в процессе формирования параметров бюджета </w:t>
      </w:r>
      <w:r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6329C8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B545F4" w:rsidRPr="00B545F4" w:rsidRDefault="00B545F4" w:rsidP="00B300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29C8">
        <w:rPr>
          <w:rFonts w:ascii="Times New Roman" w:hAnsi="Times New Roman"/>
          <w:b/>
          <w:sz w:val="24"/>
          <w:szCs w:val="24"/>
        </w:rPr>
        <w:t>ЗЕМЕЛЬНЫЙ НАЛОГ</w:t>
      </w:r>
    </w:p>
    <w:p w:rsidR="00B545F4" w:rsidRPr="0076758A" w:rsidRDefault="00B545F4" w:rsidP="00B30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8A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Совета депутатов сельского поселения Хулимсунт «О земельном налоге на территории сельского поселения Хулимсунт» от 27.03.2013 года № 173 предоставлены льготы в виде освобождения от уплаты земельного налога.</w:t>
      </w:r>
    </w:p>
    <w:p w:rsidR="00B545F4" w:rsidRPr="0076758A" w:rsidRDefault="00B545F4" w:rsidP="00B30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8A">
        <w:rPr>
          <w:rFonts w:ascii="Times New Roman" w:hAnsi="Times New Roman" w:cs="Times New Roman"/>
          <w:sz w:val="24"/>
          <w:szCs w:val="24"/>
        </w:rPr>
        <w:t xml:space="preserve">Освобождены от налогообложения по земельному налогу следующие категории налогоплательщиков:  </w:t>
      </w:r>
    </w:p>
    <w:p w:rsidR="00B545F4" w:rsidRPr="0076758A" w:rsidRDefault="00B545F4" w:rsidP="00B30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8A">
        <w:rPr>
          <w:rFonts w:ascii="Times New Roman" w:hAnsi="Times New Roman" w:cs="Times New Roman"/>
          <w:sz w:val="24"/>
          <w:szCs w:val="24"/>
        </w:rPr>
        <w:t xml:space="preserve">      1) государственные и муниципальные учреждения;</w:t>
      </w:r>
    </w:p>
    <w:p w:rsidR="00B545F4" w:rsidRPr="0076758A" w:rsidRDefault="00B545F4" w:rsidP="00B3005A">
      <w:pPr>
        <w:pStyle w:val="a3"/>
        <w:spacing w:after="0" w:line="360" w:lineRule="auto"/>
        <w:ind w:firstLine="709"/>
        <w:jc w:val="both"/>
      </w:pPr>
      <w:r w:rsidRPr="0076758A">
        <w:t xml:space="preserve">      2)  органы местного самоуправления;</w:t>
      </w:r>
    </w:p>
    <w:p w:rsidR="00B545F4" w:rsidRPr="0076758A" w:rsidRDefault="00B545F4" w:rsidP="00B3005A">
      <w:pPr>
        <w:pStyle w:val="a3"/>
        <w:spacing w:after="0" w:line="360" w:lineRule="auto"/>
        <w:ind w:firstLine="709"/>
        <w:jc w:val="both"/>
      </w:pPr>
      <w:r w:rsidRPr="0076758A">
        <w:t xml:space="preserve">      3)  неработающие трудоспособные лица, осуществляющие уход за инвалидами </w:t>
      </w:r>
      <w:r w:rsidRPr="0076758A">
        <w:rPr>
          <w:lang w:val="en-US"/>
        </w:rPr>
        <w:t>I</w:t>
      </w:r>
      <w:r w:rsidRPr="0076758A">
        <w:t xml:space="preserve"> группы или престарелыми, нуждающимися в постоянном постороннем уходе по заключению лечебного учреждения, а также за детьми – инвалидами в возрасте до 18 лет;</w:t>
      </w:r>
    </w:p>
    <w:p w:rsidR="00B545F4" w:rsidRDefault="00B545F4" w:rsidP="00B3005A">
      <w:pPr>
        <w:pStyle w:val="a3"/>
        <w:spacing w:after="0" w:line="360" w:lineRule="auto"/>
        <w:ind w:firstLine="709"/>
        <w:jc w:val="both"/>
        <w:rPr>
          <w:b/>
        </w:rPr>
      </w:pPr>
      <w:r w:rsidRPr="0076758A">
        <w:t xml:space="preserve">     </w:t>
      </w:r>
      <w:r w:rsidR="003824DF">
        <w:t>4</w:t>
      </w:r>
      <w:r w:rsidRPr="0076758A">
        <w:t xml:space="preserve">) </w:t>
      </w:r>
      <w:r>
        <w:t>ф</w:t>
      </w:r>
      <w:r w:rsidRPr="0076758A">
        <w:t>изические лица, относящиеся к коренным малочисленным народам Севера Российской Федерации (ханты, манси, ненцы), проживающие и осуществляющие виды традиционной хозяйственной деятельности коренных малочисленных народов на территории муниципального образования.</w:t>
      </w:r>
      <w:r w:rsidRPr="0076758A">
        <w:rPr>
          <w:sz w:val="20"/>
          <w:szCs w:val="20"/>
        </w:rPr>
        <w:tab/>
        <w:t xml:space="preserve">     </w:t>
      </w:r>
    </w:p>
    <w:p w:rsidR="00B545F4" w:rsidRDefault="00B545F4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B545F4" w:rsidRDefault="00B545F4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F92B00" w:rsidRDefault="00F92B00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F92B00" w:rsidRDefault="00F92B00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:rsidR="00B545F4" w:rsidRPr="006329C8" w:rsidRDefault="00B545F4" w:rsidP="00B545F4">
      <w:pPr>
        <w:pStyle w:val="a3"/>
        <w:tabs>
          <w:tab w:val="center" w:pos="7285"/>
          <w:tab w:val="right" w:pos="14570"/>
        </w:tabs>
        <w:spacing w:after="0"/>
        <w:jc w:val="center"/>
      </w:pPr>
      <w:r w:rsidRPr="006329C8">
        <w:rPr>
          <w:b/>
        </w:rPr>
        <w:t>Анализ по земельному налогу</w:t>
      </w:r>
    </w:p>
    <w:p w:rsidR="00B545F4" w:rsidRPr="006329C8" w:rsidRDefault="00B545F4" w:rsidP="00B545F4">
      <w:pPr>
        <w:pStyle w:val="a3"/>
        <w:tabs>
          <w:tab w:val="center" w:pos="7285"/>
          <w:tab w:val="right" w:pos="14570"/>
        </w:tabs>
        <w:spacing w:after="0"/>
      </w:pPr>
    </w:p>
    <w:p w:rsidR="00B545F4" w:rsidRPr="006329C8" w:rsidRDefault="00B545F4" w:rsidP="00B545F4">
      <w:pPr>
        <w:pStyle w:val="a3"/>
        <w:tabs>
          <w:tab w:val="center" w:pos="7285"/>
          <w:tab w:val="right" w:pos="14570"/>
        </w:tabs>
        <w:spacing w:after="0"/>
        <w:jc w:val="right"/>
      </w:pPr>
      <w:r w:rsidRPr="006329C8">
        <w:t>(тыс.руб.)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992"/>
        <w:gridCol w:w="689"/>
        <w:gridCol w:w="870"/>
        <w:gridCol w:w="993"/>
        <w:gridCol w:w="992"/>
        <w:gridCol w:w="689"/>
        <w:gridCol w:w="1154"/>
        <w:gridCol w:w="992"/>
        <w:gridCol w:w="972"/>
      </w:tblGrid>
      <w:tr w:rsidR="00B545F4" w:rsidRPr="00FE3534" w:rsidTr="004821E4">
        <w:trPr>
          <w:trHeight w:val="255"/>
        </w:trPr>
        <w:tc>
          <w:tcPr>
            <w:tcW w:w="3652" w:type="dxa"/>
            <w:gridSpan w:val="4"/>
            <w:shd w:val="clear" w:color="auto" w:fill="auto"/>
          </w:tcPr>
          <w:p w:rsidR="00B545F4" w:rsidRPr="004F1F3D" w:rsidRDefault="00B545F4" w:rsidP="00C1156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5AF8">
              <w:rPr>
                <w:b/>
              </w:rPr>
              <w:t>9</w:t>
            </w:r>
            <w:r w:rsidRPr="004F1F3D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45F4" w:rsidRPr="00FE3534" w:rsidRDefault="00B545F4" w:rsidP="00C115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65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C115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3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07" w:type="dxa"/>
            <w:gridSpan w:val="4"/>
            <w:shd w:val="clear" w:color="auto" w:fill="auto"/>
          </w:tcPr>
          <w:p w:rsidR="00B545F4" w:rsidRPr="004F1F3D" w:rsidRDefault="00B545F4" w:rsidP="00C1156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65AF8">
              <w:rPr>
                <w:b/>
              </w:rPr>
              <w:t>21</w:t>
            </w:r>
            <w:r w:rsidRPr="004F1F3D">
              <w:rPr>
                <w:b/>
              </w:rPr>
              <w:t xml:space="preserve"> год (прогноз)</w:t>
            </w:r>
          </w:p>
        </w:tc>
      </w:tr>
      <w:tr w:rsidR="00B545F4" w:rsidRPr="00FE3534" w:rsidTr="004821E4">
        <w:trPr>
          <w:cantSplit/>
          <w:trHeight w:val="5829"/>
        </w:trPr>
        <w:tc>
          <w:tcPr>
            <w:tcW w:w="675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налога, не поступившая в бюджет  поселения в связи с предоставлением  льгот, установленных  нормативными правовыми актами представительного органа поселения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налога, не поступившая в бюджет  поселения в связи с предоставлением  льгот, установленных  нормативными правовыми актами представительного органа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налогов, подлежащая уплате в бюджет</w:t>
            </w:r>
          </w:p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налога, не поступившая в бюджет поселения в связи с предоставлением  льгот, установленных федеральным законодательством  РФ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налога, не поступившая в бюджет  поселения в связи с предоставлением  льгот, установленных  нормативными правовыми актами представительного органа поселения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Налоговая база для исчисления налога</w:t>
            </w:r>
          </w:p>
        </w:tc>
      </w:tr>
      <w:tr w:rsidR="004821E4" w:rsidRPr="00FE3534" w:rsidTr="004821E4">
        <w:tc>
          <w:tcPr>
            <w:tcW w:w="675" w:type="dxa"/>
            <w:shd w:val="clear" w:color="auto" w:fill="auto"/>
          </w:tcPr>
          <w:p w:rsidR="004821E4" w:rsidRPr="00FE3534" w:rsidRDefault="00C11566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5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4821E4" w:rsidRPr="00FE3534" w:rsidRDefault="00065AF8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4821E4" w:rsidRPr="00FE3534" w:rsidRDefault="00065AF8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4821E4" w:rsidRPr="00FE3534" w:rsidRDefault="00C11566" w:rsidP="004821E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65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4821E4" w:rsidRPr="00FE3534" w:rsidRDefault="00826911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5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4821E4" w:rsidRPr="00FE3534" w:rsidRDefault="00065AF8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821E4" w:rsidRPr="00FE3534" w:rsidRDefault="00FB6AC4" w:rsidP="00BF24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BF2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21E4" w:rsidRPr="00FE3534" w:rsidRDefault="00065AF8" w:rsidP="004821E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689" w:type="dxa"/>
            <w:shd w:val="clear" w:color="auto" w:fill="auto"/>
          </w:tcPr>
          <w:p w:rsidR="004821E4" w:rsidRPr="00FE3534" w:rsidRDefault="00826911" w:rsidP="00FB6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81C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54" w:type="dxa"/>
            <w:shd w:val="clear" w:color="auto" w:fill="auto"/>
          </w:tcPr>
          <w:p w:rsidR="004821E4" w:rsidRPr="00FE3534" w:rsidRDefault="00A81C9C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4821E4" w:rsidRPr="00FE3534" w:rsidRDefault="00A81C9C" w:rsidP="0048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72" w:type="dxa"/>
            <w:shd w:val="clear" w:color="auto" w:fill="auto"/>
          </w:tcPr>
          <w:p w:rsidR="004821E4" w:rsidRPr="00FE3534" w:rsidRDefault="00826911" w:rsidP="004821E4">
            <w:pPr>
              <w:spacing w:line="240" w:lineRule="auto"/>
              <w:ind w:left="-108" w:right="-1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</w:tr>
    </w:tbl>
    <w:p w:rsidR="00B545F4" w:rsidRDefault="00B545F4" w:rsidP="00B545F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налогоплательщиков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</w:t>
      </w: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территории 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Хулимсунт в 20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согласно отчету 5-МН, составило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налогопла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тельщико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 xml:space="preserve">в – юридических лиц – 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единиц, из н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 xml:space="preserve">их получатели льгот по налогу 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в соответствии с феде</w:t>
      </w:r>
      <w:r w:rsidR="00255E39">
        <w:rPr>
          <w:rFonts w:ascii="Times New Roman" w:eastAsia="Times New Roman" w:hAnsi="Times New Roman"/>
          <w:sz w:val="24"/>
          <w:szCs w:val="24"/>
          <w:lang w:eastAsia="ru-RU"/>
        </w:rPr>
        <w:t>ральным законодательством РФ – 0 единиц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45F4" w:rsidRDefault="00B545F4" w:rsidP="00B3005A">
      <w:pPr>
        <w:pStyle w:val="a3"/>
        <w:spacing w:after="0" w:line="360" w:lineRule="auto"/>
        <w:ind w:firstLine="709"/>
        <w:jc w:val="both"/>
      </w:pPr>
      <w:r>
        <w:t xml:space="preserve">б) </w:t>
      </w:r>
      <w:r w:rsidRPr="00271544">
        <w:t>в соответствии с ре</w:t>
      </w:r>
      <w:r>
        <w:t xml:space="preserve">шением Совета депутатов </w:t>
      </w:r>
      <w:r w:rsidR="00255E39">
        <w:t>сельского</w:t>
      </w:r>
      <w:r>
        <w:t xml:space="preserve"> </w:t>
      </w:r>
      <w:r w:rsidRPr="00271544">
        <w:t xml:space="preserve">поселения </w:t>
      </w:r>
      <w:r w:rsidR="00255E39" w:rsidRPr="0076758A">
        <w:t xml:space="preserve">Хулимсунт «О земельном налоге на территории сельского поселения Хулимсунт» от 27.03.2013 года № </w:t>
      </w:r>
      <w:proofErr w:type="gramStart"/>
      <w:r w:rsidR="00255E39" w:rsidRPr="0076758A">
        <w:t xml:space="preserve">173 </w:t>
      </w:r>
      <w:r w:rsidRPr="001459BA">
        <w:t xml:space="preserve"> </w:t>
      </w:r>
      <w:r w:rsidRPr="00271544">
        <w:t>–</w:t>
      </w:r>
      <w:proofErr w:type="gramEnd"/>
      <w:r w:rsidRPr="00271544">
        <w:t xml:space="preserve"> </w:t>
      </w:r>
      <w:r w:rsidR="00065AF8">
        <w:t>0</w:t>
      </w:r>
      <w:r w:rsidR="00255E39">
        <w:t xml:space="preserve"> </w:t>
      </w:r>
      <w:r w:rsidRPr="00271544">
        <w:t>единиц</w:t>
      </w:r>
      <w:r w:rsidR="00255E39">
        <w:t>ы</w:t>
      </w:r>
      <w:r w:rsidRPr="00271544">
        <w:t>.</w:t>
      </w:r>
    </w:p>
    <w:p w:rsidR="00B545F4" w:rsidRPr="00271544" w:rsidRDefault="00B545F4" w:rsidP="00B3005A">
      <w:pPr>
        <w:pStyle w:val="a3"/>
        <w:spacing w:after="0" w:line="360" w:lineRule="auto"/>
        <w:ind w:firstLine="709"/>
        <w:jc w:val="both"/>
      </w:pPr>
      <w:r>
        <w:t xml:space="preserve">2) налогоплательщиков – физических лиц – </w:t>
      </w:r>
      <w:r w:rsidR="00065AF8">
        <w:t>409</w:t>
      </w:r>
      <w:r>
        <w:t xml:space="preserve"> единицы, из них получатели льгот                   </w:t>
      </w:r>
      <w:r w:rsidR="003F5749">
        <w:t xml:space="preserve">      </w:t>
      </w:r>
      <w:r w:rsidR="00065AF8">
        <w:t>52</w:t>
      </w:r>
      <w:r>
        <w:t xml:space="preserve"> единицы, в том числе:</w:t>
      </w:r>
    </w:p>
    <w:p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федеральным законодательством РФ (подпункт 2 п.5 ст.391 Налогового кодекса РФ (люди с ограниченными способностями к трудовой деятельности)</w:t>
      </w:r>
      <w:r w:rsidRPr="00701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3FA">
        <w:rPr>
          <w:rFonts w:ascii="Times New Roman" w:eastAsia="Times New Roman" w:hAnsi="Times New Roman"/>
          <w:sz w:val="24"/>
          <w:szCs w:val="24"/>
          <w:lang w:eastAsia="ru-RU"/>
        </w:rPr>
        <w:t>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ы;</w:t>
      </w:r>
    </w:p>
    <w:p w:rsidR="00B545F4" w:rsidRDefault="00B545F4" w:rsidP="00B3005A">
      <w:pPr>
        <w:pStyle w:val="a3"/>
        <w:spacing w:after="0" w:line="360" w:lineRule="auto"/>
        <w:ind w:firstLine="709"/>
        <w:jc w:val="both"/>
      </w:pPr>
      <w:r>
        <w:t>-</w:t>
      </w:r>
      <w:r w:rsidR="003F5749">
        <w:t xml:space="preserve"> </w:t>
      </w:r>
      <w:r w:rsidR="003F5749" w:rsidRPr="00271544">
        <w:t>в соответствии с ре</w:t>
      </w:r>
      <w:r w:rsidR="003F5749">
        <w:t xml:space="preserve">шением Совета депутатов сельского </w:t>
      </w:r>
      <w:r w:rsidR="003F5749" w:rsidRPr="00271544">
        <w:t xml:space="preserve">поселения </w:t>
      </w:r>
      <w:r w:rsidR="003F5749" w:rsidRPr="0076758A">
        <w:t xml:space="preserve">Хулимсунт «О земельном налоге на территории сельского поселения Хулимсунт» от 27.03.2013 года № </w:t>
      </w:r>
      <w:proofErr w:type="gramStart"/>
      <w:r w:rsidR="003F5749" w:rsidRPr="0076758A">
        <w:t xml:space="preserve">173 </w:t>
      </w:r>
      <w:r>
        <w:t xml:space="preserve"> </w:t>
      </w:r>
      <w:r w:rsidRPr="00271544">
        <w:t>–</w:t>
      </w:r>
      <w:proofErr w:type="gramEnd"/>
      <w:r w:rsidRPr="00271544">
        <w:t xml:space="preserve"> </w:t>
      </w:r>
      <w:r w:rsidR="00664DA5">
        <w:t>0</w:t>
      </w:r>
      <w:r w:rsidRPr="00271544">
        <w:t xml:space="preserve"> единиц</w:t>
      </w:r>
      <w:r w:rsidR="003F5749">
        <w:t>ы</w:t>
      </w:r>
      <w:r w:rsidRPr="00271544">
        <w:t>.</w:t>
      </w:r>
    </w:p>
    <w:p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предоставленных налоговых льгот по земельному налогу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030D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               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253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82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налогоплательщикам – юридическим лицам в сумме </w:t>
      </w:r>
      <w:r w:rsidR="0029132E">
        <w:rPr>
          <w:rFonts w:ascii="Times New Roman" w:eastAsia="Times New Roman" w:hAnsi="Times New Roman"/>
          <w:sz w:val="24"/>
          <w:szCs w:val="24"/>
          <w:lang w:eastAsia="ru-RU"/>
        </w:rPr>
        <w:t>239</w:t>
      </w:r>
      <w:r w:rsidR="0082691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рублей, из них:</w:t>
      </w:r>
    </w:p>
    <w:p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 соответствии с федеральным законодательством РФ </w:t>
      </w:r>
      <w:r w:rsidR="005030DD">
        <w:rPr>
          <w:rFonts w:ascii="Times New Roman" w:eastAsia="Times New Roman" w:hAnsi="Times New Roman"/>
          <w:sz w:val="24"/>
          <w:szCs w:val="24"/>
          <w:lang w:eastAsia="ru-RU"/>
        </w:rPr>
        <w:t xml:space="preserve">– 0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B545F4" w:rsidRPr="005030DD" w:rsidRDefault="00B545F4" w:rsidP="00B30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0DD" w:rsidRPr="005030DD">
        <w:rPr>
          <w:rFonts w:ascii="Times New Roman" w:hAnsi="Times New Roman" w:cs="Times New Roman"/>
        </w:rPr>
        <w:t xml:space="preserve"> в соответствии с решением Совета депутатов сельского поселения </w:t>
      </w:r>
      <w:r w:rsidR="005030DD" w:rsidRPr="005030DD">
        <w:rPr>
          <w:rFonts w:ascii="Times New Roman" w:hAnsi="Times New Roman" w:cs="Times New Roman"/>
          <w:sz w:val="24"/>
          <w:szCs w:val="24"/>
        </w:rPr>
        <w:t>Хулимсунт «О земельном налоге на территории сельского поселения Хулимсунт» от 27.03.2013 года № 173 </w:t>
      </w:r>
      <w:r w:rsidR="00664DA5">
        <w:rPr>
          <w:rFonts w:ascii="Times New Roman" w:hAnsi="Times New Roman" w:cs="Times New Roman"/>
          <w:sz w:val="24"/>
          <w:szCs w:val="24"/>
        </w:rPr>
        <w:t>–</w:t>
      </w:r>
      <w:r w:rsidR="00F92B00">
        <w:rPr>
          <w:rFonts w:ascii="Times New Roman" w:hAnsi="Times New Roman" w:cs="Times New Roman"/>
          <w:sz w:val="24"/>
          <w:szCs w:val="24"/>
        </w:rPr>
        <w:t xml:space="preserve"> </w:t>
      </w:r>
      <w:r w:rsidR="0029132E">
        <w:rPr>
          <w:rFonts w:ascii="Times New Roman" w:hAnsi="Times New Roman" w:cs="Times New Roman"/>
          <w:sz w:val="24"/>
          <w:szCs w:val="24"/>
        </w:rPr>
        <w:t>239</w:t>
      </w:r>
      <w:r w:rsidR="00664DA5">
        <w:rPr>
          <w:rFonts w:ascii="Times New Roman" w:hAnsi="Times New Roman" w:cs="Times New Roman"/>
          <w:sz w:val="24"/>
          <w:szCs w:val="24"/>
        </w:rPr>
        <w:t>,0</w:t>
      </w:r>
      <w:r w:rsidR="005030DD" w:rsidRPr="005030DD">
        <w:rPr>
          <w:rFonts w:ascii="Times New Roman" w:hAnsi="Times New Roman" w:cs="Times New Roman"/>
          <w:sz w:val="24"/>
          <w:szCs w:val="24"/>
        </w:rPr>
        <w:t xml:space="preserve"> </w:t>
      </w: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F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) по налогоплательщикам – физиче</w:t>
      </w:r>
      <w:r w:rsidR="005030D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ским лицам в сумме </w:t>
      </w:r>
      <w:r w:rsidR="0029132E">
        <w:rPr>
          <w:rFonts w:ascii="Times New Roman" w:eastAsia="Times New Roman" w:hAnsi="Times New Roman"/>
          <w:sz w:val="24"/>
          <w:szCs w:val="24"/>
          <w:lang w:eastAsia="ru-RU"/>
        </w:rPr>
        <w:t>14 055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рублей, из них:</w:t>
      </w:r>
    </w:p>
    <w:p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федеральным законодательством РФ – </w:t>
      </w:r>
      <w:r w:rsidR="0029132E">
        <w:rPr>
          <w:rFonts w:ascii="Times New Roman" w:eastAsia="Times New Roman" w:hAnsi="Times New Roman"/>
          <w:sz w:val="24"/>
          <w:szCs w:val="24"/>
          <w:lang w:eastAsia="ru-RU"/>
        </w:rPr>
        <w:t>14 055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B545F4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0DD" w:rsidRPr="005030DD">
        <w:rPr>
          <w:rFonts w:ascii="Times New Roman" w:hAnsi="Times New Roman" w:cs="Times New Roman"/>
        </w:rPr>
        <w:t xml:space="preserve"> </w:t>
      </w:r>
      <w:r w:rsidR="005030DD" w:rsidRPr="005030DD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</w:t>
      </w:r>
      <w:r w:rsidR="005030DD" w:rsidRPr="00271544">
        <w:t xml:space="preserve"> </w:t>
      </w:r>
      <w:r w:rsidR="005030DD" w:rsidRPr="0076758A">
        <w:rPr>
          <w:rFonts w:ascii="Times New Roman" w:hAnsi="Times New Roman" w:cs="Times New Roman"/>
          <w:sz w:val="24"/>
          <w:szCs w:val="24"/>
        </w:rPr>
        <w:t>Хулимсунт «О земельном налоге на территории сельского поселения Хулимсунт» от 27.03.2013 года № 173</w:t>
      </w:r>
      <w:r w:rsidR="005030D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- 0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524F7A" w:rsidRPr="00524F7A" w:rsidRDefault="008E4F46" w:rsidP="00B3005A">
      <w:pPr>
        <w:tabs>
          <w:tab w:val="num" w:pos="28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2648">
        <w:rPr>
          <w:rFonts w:ascii="Times New Roman" w:hAnsi="Times New Roman" w:cs="Times New Roman"/>
          <w:sz w:val="28"/>
          <w:szCs w:val="28"/>
        </w:rPr>
        <w:t xml:space="preserve"> 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 xml:space="preserve"> – юридические лица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которым в соответствии с 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вышеуказанным 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предоставлены льготы по земельному налогу, это учреждения обеспечивающие выполнение функциональных задач в интересах населения за счет бюджетных средств.</w:t>
      </w:r>
      <w:r w:rsidR="00B300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F7A" w:rsidRPr="008E4F46">
        <w:rPr>
          <w:rFonts w:ascii="Times New Roman" w:hAnsi="Times New Roman" w:cs="Times New Roman"/>
          <w:sz w:val="24"/>
          <w:szCs w:val="24"/>
        </w:rPr>
        <w:t xml:space="preserve">Установленные льготы по земельному налогу </w:t>
      </w:r>
      <w:r w:rsidR="00524F7A">
        <w:rPr>
          <w:rFonts w:ascii="Times New Roman" w:hAnsi="Times New Roman" w:cs="Times New Roman"/>
          <w:sz w:val="24"/>
          <w:szCs w:val="24"/>
        </w:rPr>
        <w:t xml:space="preserve">для налогоплательщиков – </w:t>
      </w:r>
      <w:r w:rsidR="00611CBC">
        <w:rPr>
          <w:rFonts w:ascii="Times New Roman" w:hAnsi="Times New Roman" w:cs="Times New Roman"/>
          <w:sz w:val="24"/>
          <w:szCs w:val="24"/>
        </w:rPr>
        <w:t>юридических лиц</w:t>
      </w:r>
      <w:r w:rsidR="00524F7A">
        <w:rPr>
          <w:rFonts w:ascii="Times New Roman" w:hAnsi="Times New Roman" w:cs="Times New Roman"/>
          <w:sz w:val="24"/>
          <w:szCs w:val="24"/>
        </w:rPr>
        <w:t xml:space="preserve"> </w:t>
      </w:r>
      <w:r w:rsidR="00524F7A" w:rsidRPr="008E4F46">
        <w:rPr>
          <w:rFonts w:ascii="Times New Roman" w:hAnsi="Times New Roman" w:cs="Times New Roman"/>
          <w:sz w:val="24"/>
          <w:szCs w:val="24"/>
        </w:rPr>
        <w:t xml:space="preserve">в виде освобождения от уплаты налога, направлены на устранение/уменьшение встречных финансовых потоков  в бюджете </w:t>
      </w:r>
      <w:r w:rsidR="00524F7A">
        <w:rPr>
          <w:rFonts w:ascii="Times New Roman" w:hAnsi="Times New Roman" w:cs="Times New Roman"/>
          <w:sz w:val="24"/>
          <w:szCs w:val="24"/>
        </w:rPr>
        <w:t>поселения</w:t>
      </w:r>
      <w:r w:rsidR="00524F7A" w:rsidRPr="008E4F46">
        <w:rPr>
          <w:rFonts w:ascii="Times New Roman" w:hAnsi="Times New Roman" w:cs="Times New Roman"/>
          <w:sz w:val="24"/>
          <w:szCs w:val="24"/>
        </w:rPr>
        <w:t>.</w:t>
      </w:r>
      <w:r w:rsidR="00524F7A" w:rsidRPr="00524F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24F7A" w:rsidRPr="00524F7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Бюджетный эффект от предоставленных льгот в отношении юридических лиц </w:t>
      </w:r>
      <w:r w:rsidR="00611CBC" w:rsidRPr="006329C8">
        <w:rPr>
          <w:rFonts w:ascii="Times New Roman" w:eastAsia="Times New Roman" w:hAnsi="Times New Roman"/>
          <w:sz w:val="24"/>
          <w:szCs w:val="24"/>
          <w:lang w:eastAsia="ru-RU"/>
        </w:rPr>
        <w:t>проявляется в экономии бюджетных средств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CBC" w:rsidRPr="006329C8" w:rsidRDefault="00524F7A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F7A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Физические лица - получатели налоговых льгот, в основном граждане, нуждающиеся в социальной поддержке. Предоставленные налоговые льготы  физическим лицам обеспечивают повышение уровня и качества жизни жителей поселения, т.е. относятся к социально эффективным налоговым льготам. </w:t>
      </w:r>
    </w:p>
    <w:p w:rsidR="00B545F4" w:rsidRPr="006329C8" w:rsidRDefault="00B545F4" w:rsidP="00B3005A">
      <w:pPr>
        <w:pStyle w:val="a3"/>
        <w:spacing w:after="0" w:line="360" w:lineRule="auto"/>
        <w:ind w:firstLine="709"/>
        <w:jc w:val="both"/>
      </w:pPr>
      <w:r w:rsidRPr="006329C8">
        <w:t>В соответствии с плановыми показателями поступлений по земельному нало</w:t>
      </w:r>
      <w:r w:rsidR="00826911">
        <w:t>гу, для прогноза потерь бюджета</w:t>
      </w:r>
      <w:r w:rsidRPr="006329C8">
        <w:t xml:space="preserve"> поселения от предоставления налоговых льгот, произведен расчет выпадающих доходов поселения на:</w:t>
      </w:r>
    </w:p>
    <w:p w:rsidR="00524F7A" w:rsidRDefault="00B854D4" w:rsidP="00B3005A">
      <w:pPr>
        <w:pStyle w:val="a3"/>
        <w:spacing w:after="0" w:line="360" w:lineRule="auto"/>
        <w:ind w:firstLine="709"/>
        <w:jc w:val="both"/>
      </w:pPr>
      <w:r>
        <w:rPr>
          <w:b/>
        </w:rPr>
        <w:t>20</w:t>
      </w:r>
      <w:r w:rsidR="0029132E">
        <w:rPr>
          <w:b/>
        </w:rPr>
        <w:t>2</w:t>
      </w:r>
      <w:r w:rsidR="00DE11A0">
        <w:rPr>
          <w:b/>
        </w:rPr>
        <w:t>0</w:t>
      </w:r>
      <w:r w:rsidR="00B545F4" w:rsidRPr="006329C8">
        <w:rPr>
          <w:b/>
        </w:rPr>
        <w:t xml:space="preserve"> год</w:t>
      </w:r>
      <w:r w:rsidR="00B545F4" w:rsidRPr="006329C8">
        <w:t xml:space="preserve"> – Сумма налога, подлежащая к зачислению в бюджет</w:t>
      </w:r>
      <w:r w:rsidR="00B545F4">
        <w:t>–</w:t>
      </w:r>
      <w:r w:rsidR="00B3005A">
        <w:t xml:space="preserve"> </w:t>
      </w:r>
      <w:r w:rsidR="00826911">
        <w:t>1</w:t>
      </w:r>
      <w:r w:rsidR="0029132E">
        <w:t>78,3</w:t>
      </w:r>
      <w:r w:rsidR="008B5EC0">
        <w:t xml:space="preserve"> </w:t>
      </w:r>
      <w:r w:rsidR="00826911">
        <w:t xml:space="preserve">тыс. рублей, </w:t>
      </w:r>
      <w:r w:rsidR="00B545F4" w:rsidRPr="006329C8">
        <w:t xml:space="preserve">выпадающие доходы </w:t>
      </w:r>
      <w:r w:rsidR="00B545F4">
        <w:t>–</w:t>
      </w:r>
      <w:r w:rsidR="0029132E">
        <w:t>253,0</w:t>
      </w:r>
      <w:r w:rsidR="008B5EC0">
        <w:t xml:space="preserve"> </w:t>
      </w:r>
      <w:r w:rsidR="00B545F4" w:rsidRPr="006329C8">
        <w:t>тыс. рублей</w:t>
      </w:r>
      <w:r w:rsidR="00B545F4">
        <w:t xml:space="preserve">, </w:t>
      </w:r>
    </w:p>
    <w:p w:rsidR="00B545F4" w:rsidRDefault="00B854D4" w:rsidP="00B3005A">
      <w:pPr>
        <w:pStyle w:val="a3"/>
        <w:spacing w:after="0" w:line="360" w:lineRule="auto"/>
        <w:ind w:firstLine="709"/>
        <w:jc w:val="both"/>
      </w:pPr>
      <w:r>
        <w:rPr>
          <w:b/>
        </w:rPr>
        <w:t>20</w:t>
      </w:r>
      <w:r w:rsidR="00524F7A">
        <w:rPr>
          <w:b/>
        </w:rPr>
        <w:t>2</w:t>
      </w:r>
      <w:r w:rsidR="00DE11A0">
        <w:rPr>
          <w:b/>
        </w:rPr>
        <w:t>1</w:t>
      </w:r>
      <w:r w:rsidR="00B545F4" w:rsidRPr="006329C8">
        <w:rPr>
          <w:b/>
        </w:rPr>
        <w:t xml:space="preserve"> год</w:t>
      </w:r>
      <w:r w:rsidR="00B545F4" w:rsidRPr="006329C8">
        <w:t xml:space="preserve"> – Сумма налога, подлежащая к зачислению в бюджет </w:t>
      </w:r>
      <w:r w:rsidR="008B5EC0">
        <w:t xml:space="preserve">– </w:t>
      </w:r>
      <w:r w:rsidR="0029132E">
        <w:t>178,3</w:t>
      </w:r>
      <w:r w:rsidR="008B5EC0">
        <w:t xml:space="preserve"> </w:t>
      </w:r>
      <w:r w:rsidR="00826911">
        <w:t xml:space="preserve">тыс. рублей, </w:t>
      </w:r>
      <w:r w:rsidR="00B545F4" w:rsidRPr="006329C8">
        <w:t xml:space="preserve">выпадающие доходы </w:t>
      </w:r>
      <w:r w:rsidR="008B5EC0">
        <w:t>–</w:t>
      </w:r>
      <w:r w:rsidR="0029132E">
        <w:t>253,0</w:t>
      </w:r>
      <w:r w:rsidR="00B545F4" w:rsidRPr="006329C8">
        <w:t xml:space="preserve"> тыс. рублей</w:t>
      </w:r>
      <w:r w:rsidR="00B545F4">
        <w:t xml:space="preserve">, </w:t>
      </w:r>
    </w:p>
    <w:p w:rsidR="00B545F4" w:rsidRDefault="00B854D4" w:rsidP="00B3005A">
      <w:pPr>
        <w:pStyle w:val="a3"/>
        <w:spacing w:after="0" w:line="360" w:lineRule="auto"/>
        <w:ind w:firstLine="709"/>
        <w:jc w:val="both"/>
      </w:pPr>
      <w:r>
        <w:rPr>
          <w:b/>
        </w:rPr>
        <w:t>20</w:t>
      </w:r>
      <w:r w:rsidR="00524F7A">
        <w:rPr>
          <w:b/>
        </w:rPr>
        <w:t>2</w:t>
      </w:r>
      <w:r w:rsidR="00DE11A0">
        <w:rPr>
          <w:b/>
        </w:rPr>
        <w:t>2</w:t>
      </w:r>
      <w:r w:rsidR="00B545F4" w:rsidRPr="006329C8">
        <w:rPr>
          <w:b/>
        </w:rPr>
        <w:t xml:space="preserve"> год</w:t>
      </w:r>
      <w:r w:rsidR="00B545F4" w:rsidRPr="006329C8">
        <w:t xml:space="preserve"> – Сумма налога, подлежащая к зачислению в бюджет </w:t>
      </w:r>
      <w:r w:rsidR="00B545F4">
        <w:t>–</w:t>
      </w:r>
      <w:r w:rsidR="008B5EC0">
        <w:t xml:space="preserve"> </w:t>
      </w:r>
      <w:r w:rsidR="0029132E">
        <w:t>178,3</w:t>
      </w:r>
      <w:r w:rsidR="00826911">
        <w:t xml:space="preserve"> тыс. рублей, </w:t>
      </w:r>
      <w:r w:rsidR="00B545F4" w:rsidRPr="006329C8">
        <w:t xml:space="preserve">выпадающие доходы </w:t>
      </w:r>
      <w:r w:rsidR="00B545F4">
        <w:t>–</w:t>
      </w:r>
      <w:r w:rsidR="0029132E">
        <w:t>253,0</w:t>
      </w:r>
      <w:r w:rsidR="00B545F4" w:rsidRPr="006329C8">
        <w:t xml:space="preserve"> тыс. рублей</w:t>
      </w:r>
      <w:r w:rsidR="00524F7A">
        <w:t>.</w:t>
      </w:r>
    </w:p>
    <w:p w:rsidR="0029132E" w:rsidRDefault="0029132E" w:rsidP="00B3005A">
      <w:pPr>
        <w:pStyle w:val="a3"/>
        <w:spacing w:after="0" w:line="360" w:lineRule="auto"/>
        <w:ind w:firstLine="709"/>
        <w:jc w:val="both"/>
      </w:pPr>
    </w:p>
    <w:p w:rsidR="0029132E" w:rsidRPr="006329C8" w:rsidRDefault="0029132E" w:rsidP="00B3005A">
      <w:pPr>
        <w:pStyle w:val="a3"/>
        <w:spacing w:after="0" w:line="360" w:lineRule="auto"/>
        <w:ind w:firstLine="709"/>
        <w:jc w:val="both"/>
      </w:pPr>
    </w:p>
    <w:p w:rsidR="00B545F4" w:rsidRDefault="00B545F4" w:rsidP="00B300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29C8">
        <w:rPr>
          <w:rFonts w:ascii="Times New Roman" w:hAnsi="Times New Roman"/>
          <w:b/>
          <w:sz w:val="24"/>
          <w:szCs w:val="24"/>
        </w:rPr>
        <w:t>Заключение:</w:t>
      </w:r>
    </w:p>
    <w:p w:rsidR="00611CBC" w:rsidRDefault="00611CBC" w:rsidP="00B3005A">
      <w:pPr>
        <w:pStyle w:val="a3"/>
        <w:spacing w:after="0" w:line="360" w:lineRule="auto"/>
        <w:ind w:firstLine="709"/>
        <w:jc w:val="both"/>
      </w:pPr>
      <w:r w:rsidRPr="006329C8">
        <w:t xml:space="preserve">По результатам произведенной оценки эффективности и обоснованности налоговых льгот по земельному налогу на территории </w:t>
      </w:r>
      <w:r>
        <w:t xml:space="preserve">сельского поселения Хулимсунт предлагается </w:t>
      </w:r>
      <w:r w:rsidRPr="006329C8">
        <w:t>льготы, принятые</w:t>
      </w:r>
      <w:r>
        <w:t xml:space="preserve"> </w:t>
      </w:r>
      <w:r w:rsidRPr="006329C8">
        <w:t>решение</w:t>
      </w:r>
      <w:r>
        <w:t xml:space="preserve">м </w:t>
      </w:r>
      <w:r w:rsidRPr="00385F29">
        <w:t>Совет</w:t>
      </w:r>
      <w:r>
        <w:t>а депутатов</w:t>
      </w:r>
      <w:r w:rsidRPr="005030DD">
        <w:t xml:space="preserve"> сельского поселения</w:t>
      </w:r>
      <w:r w:rsidRPr="00271544">
        <w:t xml:space="preserve"> </w:t>
      </w:r>
      <w:r w:rsidRPr="0076758A">
        <w:t>Хулимсунт «О земельном налоге на территории сельского поселения Хулимсунт» от 27.03.2013 года № 173</w:t>
      </w:r>
      <w:r w:rsidRPr="001459BA">
        <w:t xml:space="preserve"> </w:t>
      </w:r>
      <w:r w:rsidRPr="006329C8">
        <w:t xml:space="preserve">признать эффективными, не требующими </w:t>
      </w:r>
      <w:r>
        <w:t>к</w:t>
      </w:r>
      <w:r w:rsidRPr="006329C8">
        <w:t>орректировки.</w:t>
      </w:r>
    </w:p>
    <w:p w:rsidR="00826911" w:rsidRDefault="00826911" w:rsidP="00B3005A">
      <w:pPr>
        <w:pStyle w:val="a3"/>
        <w:spacing w:after="0" w:line="360" w:lineRule="auto"/>
        <w:ind w:firstLine="709"/>
        <w:jc w:val="both"/>
      </w:pPr>
    </w:p>
    <w:p w:rsidR="00826911" w:rsidRDefault="00826911" w:rsidP="00B3005A">
      <w:pPr>
        <w:pStyle w:val="a3"/>
        <w:spacing w:after="0" w:line="360" w:lineRule="auto"/>
        <w:ind w:firstLine="709"/>
        <w:jc w:val="both"/>
      </w:pPr>
    </w:p>
    <w:p w:rsidR="00B545F4" w:rsidRDefault="00B545F4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</w:pPr>
    </w:p>
    <w:p w:rsidR="0029132E" w:rsidRDefault="0029132E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</w:pPr>
    </w:p>
    <w:p w:rsidR="0029132E" w:rsidRDefault="0029132E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</w:pPr>
    </w:p>
    <w:p w:rsidR="00B545F4" w:rsidRPr="006329C8" w:rsidRDefault="00B545F4" w:rsidP="00FE3500">
      <w:pPr>
        <w:pStyle w:val="a3"/>
        <w:tabs>
          <w:tab w:val="center" w:pos="7285"/>
          <w:tab w:val="right" w:pos="14570"/>
        </w:tabs>
        <w:spacing w:after="0" w:line="360" w:lineRule="auto"/>
        <w:jc w:val="center"/>
        <w:rPr>
          <w:b/>
        </w:rPr>
      </w:pPr>
      <w:r w:rsidRPr="006329C8">
        <w:rPr>
          <w:b/>
        </w:rPr>
        <w:t>НАЛОГ НА ИМУЩЕСТВО ФИЗИЧЕСКИХ ЛИЦ</w:t>
      </w:r>
    </w:p>
    <w:p w:rsidR="00B545F4" w:rsidRDefault="00B545F4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  <w:rPr>
          <w:b/>
        </w:rPr>
      </w:pPr>
    </w:p>
    <w:p w:rsidR="00B3005A" w:rsidRPr="00B3005A" w:rsidRDefault="00FE3500" w:rsidP="00B3005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алоговые льготы по налогу на имущество физических лиц решением Совета депутатов </w:t>
      </w:r>
      <w:r w:rsidR="00B3005A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="00B3005A">
        <w:rPr>
          <w:rFonts w:ascii="Times New Roman" w:hAnsi="Times New Roman" w:cs="Times New Roman"/>
          <w:color w:val="000000"/>
          <w:sz w:val="24"/>
          <w:szCs w:val="24"/>
        </w:rPr>
        <w:t>Хулимсунт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от 2</w:t>
      </w:r>
      <w:r w:rsidR="00B300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>.11.2014 №</w:t>
      </w:r>
      <w:r w:rsidR="00B3005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не устанавливались, соответственно расчет коэффициентов эффек</w:t>
      </w:r>
      <w:r w:rsidR="00826911">
        <w:rPr>
          <w:rFonts w:ascii="Times New Roman" w:hAnsi="Times New Roman" w:cs="Times New Roman"/>
          <w:color w:val="000000"/>
          <w:sz w:val="24"/>
          <w:szCs w:val="24"/>
        </w:rPr>
        <w:t>тивности налоговых льгот за 20</w:t>
      </w:r>
      <w:r w:rsidR="0029132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год не производился.</w:t>
      </w:r>
    </w:p>
    <w:p w:rsidR="00B545F4" w:rsidRDefault="00B545F4" w:rsidP="00D02E7D">
      <w:pPr>
        <w:pStyle w:val="a3"/>
        <w:spacing w:after="0" w:line="360" w:lineRule="auto"/>
        <w:rPr>
          <w:b/>
        </w:rPr>
      </w:pPr>
    </w:p>
    <w:p w:rsidR="0071090C" w:rsidRDefault="00FE3500" w:rsidP="0071090C">
      <w:pPr>
        <w:pStyle w:val="a3"/>
        <w:tabs>
          <w:tab w:val="center" w:pos="7285"/>
          <w:tab w:val="right" w:pos="14570"/>
        </w:tabs>
        <w:spacing w:after="0"/>
      </w:pPr>
      <w:r w:rsidRPr="00B3005A">
        <w:t>Исполнитель</w:t>
      </w:r>
      <w:r w:rsidR="0071090C">
        <w:t>:</w:t>
      </w:r>
    </w:p>
    <w:p w:rsidR="0071090C" w:rsidRDefault="0071090C" w:rsidP="0071090C">
      <w:pPr>
        <w:pStyle w:val="a3"/>
        <w:tabs>
          <w:tab w:val="center" w:pos="7285"/>
          <w:tab w:val="right" w:pos="14570"/>
        </w:tabs>
        <w:spacing w:after="0"/>
      </w:pPr>
      <w:r>
        <w:t xml:space="preserve">Главный специалист </w:t>
      </w:r>
      <w:r w:rsidR="0029132E">
        <w:t xml:space="preserve">по закупкам и </w:t>
      </w:r>
    </w:p>
    <w:p w:rsidR="0029132E" w:rsidRDefault="0029132E" w:rsidP="0071090C">
      <w:pPr>
        <w:pStyle w:val="a3"/>
        <w:tabs>
          <w:tab w:val="center" w:pos="7285"/>
          <w:tab w:val="right" w:pos="14570"/>
        </w:tabs>
        <w:spacing w:after="0"/>
      </w:pPr>
      <w:r>
        <w:t xml:space="preserve">социальному развитию </w:t>
      </w:r>
    </w:p>
    <w:p w:rsidR="0071090C" w:rsidRDefault="0029132E" w:rsidP="0071090C">
      <w:pPr>
        <w:pStyle w:val="a3"/>
        <w:tabs>
          <w:tab w:val="center" w:pos="7285"/>
          <w:tab w:val="right" w:pos="14570"/>
        </w:tabs>
        <w:spacing w:after="0"/>
      </w:pPr>
      <w:proofErr w:type="spellStart"/>
      <w:r>
        <w:t>А.Е.Репина</w:t>
      </w:r>
      <w:proofErr w:type="spellEnd"/>
    </w:p>
    <w:p w:rsidR="0029132E" w:rsidRDefault="0029132E" w:rsidP="0071090C">
      <w:pPr>
        <w:pStyle w:val="a3"/>
        <w:tabs>
          <w:tab w:val="center" w:pos="7285"/>
          <w:tab w:val="right" w:pos="14570"/>
        </w:tabs>
        <w:spacing w:after="0"/>
      </w:pPr>
      <w:r>
        <w:t>Тел:33-5-07</w:t>
      </w:r>
    </w:p>
    <w:p w:rsidR="00FE3500" w:rsidRDefault="00FE3500" w:rsidP="00FE3500">
      <w:pPr>
        <w:pStyle w:val="a3"/>
        <w:tabs>
          <w:tab w:val="center" w:pos="7285"/>
          <w:tab w:val="right" w:pos="14570"/>
        </w:tabs>
        <w:spacing w:after="0" w:line="360" w:lineRule="auto"/>
      </w:pPr>
      <w:r w:rsidRPr="00B3005A">
        <w:t xml:space="preserve"> </w:t>
      </w:r>
    </w:p>
    <w:p w:rsidR="00B545F4" w:rsidRDefault="00B545F4" w:rsidP="00D02E7D">
      <w:pPr>
        <w:pStyle w:val="a3"/>
        <w:spacing w:after="0" w:line="360" w:lineRule="auto"/>
        <w:rPr>
          <w:b/>
        </w:rPr>
      </w:pPr>
    </w:p>
    <w:sectPr w:rsidR="00B545F4" w:rsidSect="0068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FBE"/>
    <w:multiLevelType w:val="multilevel"/>
    <w:tmpl w:val="B5ECD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A6CCD"/>
    <w:multiLevelType w:val="hybridMultilevel"/>
    <w:tmpl w:val="178A7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E"/>
    <w:rsid w:val="00022290"/>
    <w:rsid w:val="00040084"/>
    <w:rsid w:val="00056876"/>
    <w:rsid w:val="00061DB9"/>
    <w:rsid w:val="00065AF8"/>
    <w:rsid w:val="00084E87"/>
    <w:rsid w:val="000A01AC"/>
    <w:rsid w:val="000C64F6"/>
    <w:rsid w:val="000D521A"/>
    <w:rsid w:val="001003B9"/>
    <w:rsid w:val="00101DCA"/>
    <w:rsid w:val="0010354E"/>
    <w:rsid w:val="00116653"/>
    <w:rsid w:val="00164018"/>
    <w:rsid w:val="00187BCA"/>
    <w:rsid w:val="00192225"/>
    <w:rsid w:val="00195DB7"/>
    <w:rsid w:val="001961C9"/>
    <w:rsid w:val="001A4A7A"/>
    <w:rsid w:val="001B67DF"/>
    <w:rsid w:val="001C1D79"/>
    <w:rsid w:val="001C7AF8"/>
    <w:rsid w:val="001D5114"/>
    <w:rsid w:val="001E0B95"/>
    <w:rsid w:val="001E32DD"/>
    <w:rsid w:val="001E5DEB"/>
    <w:rsid w:val="001E6531"/>
    <w:rsid w:val="00221540"/>
    <w:rsid w:val="00237917"/>
    <w:rsid w:val="00255E39"/>
    <w:rsid w:val="00265B7E"/>
    <w:rsid w:val="0029132E"/>
    <w:rsid w:val="002A445E"/>
    <w:rsid w:val="002B5E9B"/>
    <w:rsid w:val="002C19A0"/>
    <w:rsid w:val="002D32B2"/>
    <w:rsid w:val="002E3240"/>
    <w:rsid w:val="00375641"/>
    <w:rsid w:val="003824DF"/>
    <w:rsid w:val="00390588"/>
    <w:rsid w:val="003A5FCA"/>
    <w:rsid w:val="003D1287"/>
    <w:rsid w:val="003D4848"/>
    <w:rsid w:val="003E2E04"/>
    <w:rsid w:val="003F5749"/>
    <w:rsid w:val="00405822"/>
    <w:rsid w:val="00413FBA"/>
    <w:rsid w:val="004304C3"/>
    <w:rsid w:val="0044157D"/>
    <w:rsid w:val="00453274"/>
    <w:rsid w:val="00457BCB"/>
    <w:rsid w:val="004821E4"/>
    <w:rsid w:val="004C122E"/>
    <w:rsid w:val="004F176A"/>
    <w:rsid w:val="005030DD"/>
    <w:rsid w:val="0051249C"/>
    <w:rsid w:val="00524F7A"/>
    <w:rsid w:val="00540DE1"/>
    <w:rsid w:val="00545D4D"/>
    <w:rsid w:val="005753C9"/>
    <w:rsid w:val="00575405"/>
    <w:rsid w:val="00593EB2"/>
    <w:rsid w:val="005A12F1"/>
    <w:rsid w:val="005E1AB3"/>
    <w:rsid w:val="005E6BFF"/>
    <w:rsid w:val="00602F24"/>
    <w:rsid w:val="00611CBC"/>
    <w:rsid w:val="00664DA5"/>
    <w:rsid w:val="00670558"/>
    <w:rsid w:val="0067387D"/>
    <w:rsid w:val="006878EA"/>
    <w:rsid w:val="006A4585"/>
    <w:rsid w:val="006B0FD0"/>
    <w:rsid w:val="006C628D"/>
    <w:rsid w:val="006D487F"/>
    <w:rsid w:val="006F4F58"/>
    <w:rsid w:val="007001BB"/>
    <w:rsid w:val="0071090C"/>
    <w:rsid w:val="00710A3B"/>
    <w:rsid w:val="0071350A"/>
    <w:rsid w:val="00716D5F"/>
    <w:rsid w:val="00746C31"/>
    <w:rsid w:val="0076758A"/>
    <w:rsid w:val="00797599"/>
    <w:rsid w:val="007A5CC6"/>
    <w:rsid w:val="007E51E7"/>
    <w:rsid w:val="007F5C85"/>
    <w:rsid w:val="008051AE"/>
    <w:rsid w:val="00806C42"/>
    <w:rsid w:val="00813D4E"/>
    <w:rsid w:val="00826911"/>
    <w:rsid w:val="008807F5"/>
    <w:rsid w:val="008A10A6"/>
    <w:rsid w:val="008B5EC0"/>
    <w:rsid w:val="008E4F46"/>
    <w:rsid w:val="00913265"/>
    <w:rsid w:val="00953742"/>
    <w:rsid w:val="0097691F"/>
    <w:rsid w:val="00984400"/>
    <w:rsid w:val="00987091"/>
    <w:rsid w:val="009B416C"/>
    <w:rsid w:val="009E165A"/>
    <w:rsid w:val="00A81C9C"/>
    <w:rsid w:val="00A94DA7"/>
    <w:rsid w:val="00AB1CA8"/>
    <w:rsid w:val="00AC440B"/>
    <w:rsid w:val="00AC60E9"/>
    <w:rsid w:val="00AF1A74"/>
    <w:rsid w:val="00AF4B52"/>
    <w:rsid w:val="00B3005A"/>
    <w:rsid w:val="00B325B6"/>
    <w:rsid w:val="00B545F4"/>
    <w:rsid w:val="00B75B1C"/>
    <w:rsid w:val="00B854D4"/>
    <w:rsid w:val="00BE44EA"/>
    <w:rsid w:val="00BF248D"/>
    <w:rsid w:val="00C11566"/>
    <w:rsid w:val="00C90DA2"/>
    <w:rsid w:val="00CA353F"/>
    <w:rsid w:val="00CA3E23"/>
    <w:rsid w:val="00CD574E"/>
    <w:rsid w:val="00D02E7D"/>
    <w:rsid w:val="00D16416"/>
    <w:rsid w:val="00D3404C"/>
    <w:rsid w:val="00D46F06"/>
    <w:rsid w:val="00D65101"/>
    <w:rsid w:val="00D70AF4"/>
    <w:rsid w:val="00D92394"/>
    <w:rsid w:val="00D978D2"/>
    <w:rsid w:val="00DE11A0"/>
    <w:rsid w:val="00DE49D6"/>
    <w:rsid w:val="00E02A42"/>
    <w:rsid w:val="00E50527"/>
    <w:rsid w:val="00E548FF"/>
    <w:rsid w:val="00E56682"/>
    <w:rsid w:val="00E94C83"/>
    <w:rsid w:val="00EB4EE6"/>
    <w:rsid w:val="00EC32D9"/>
    <w:rsid w:val="00EE37D9"/>
    <w:rsid w:val="00EF67D4"/>
    <w:rsid w:val="00F153E7"/>
    <w:rsid w:val="00F200BC"/>
    <w:rsid w:val="00F4607E"/>
    <w:rsid w:val="00F56BE9"/>
    <w:rsid w:val="00F901C6"/>
    <w:rsid w:val="00F90339"/>
    <w:rsid w:val="00F92B00"/>
    <w:rsid w:val="00FB6AC4"/>
    <w:rsid w:val="00FB759B"/>
    <w:rsid w:val="00FC5DED"/>
    <w:rsid w:val="00FE3500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94F0"/>
  <w15:docId w15:val="{EB6241E4-D3DE-41C3-BEF8-01A4D82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37917"/>
    <w:rPr>
      <w:color w:val="808080"/>
    </w:rPr>
  </w:style>
  <w:style w:type="paragraph" w:customStyle="1" w:styleId="ConsPlusNormal">
    <w:name w:val="ConsPlusNormal"/>
    <w:rsid w:val="008E4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C46C-3BC7-488E-866A-E430A05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AzanovaTM</dc:creator>
  <cp:lastModifiedBy>Экономист</cp:lastModifiedBy>
  <cp:revision>5</cp:revision>
  <cp:lastPrinted>2019-11-21T12:06:00Z</cp:lastPrinted>
  <dcterms:created xsi:type="dcterms:W3CDTF">2021-09-29T07:33:00Z</dcterms:created>
  <dcterms:modified xsi:type="dcterms:W3CDTF">2021-10-05T10:00:00Z</dcterms:modified>
</cp:coreProperties>
</file>